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B3" w:rsidRDefault="004B09B3" w:rsidP="00D814C9">
      <w:pPr>
        <w:jc w:val="both"/>
        <w:rPr>
          <w:rFonts w:ascii="Times New Roman" w:hAnsi="Times New Roman"/>
          <w:b/>
        </w:rPr>
      </w:pPr>
      <w:r>
        <w:rPr>
          <w:rFonts w:ascii="Times New Roman" w:hAnsi="Times New Roman"/>
          <w:b/>
        </w:rPr>
        <w:t>Informace o stavu odpadového hospodářství ve městě</w:t>
      </w:r>
    </w:p>
    <w:p w:rsidR="004B09B3" w:rsidRPr="004B09B3" w:rsidRDefault="004B09B3" w:rsidP="00D814C9">
      <w:pPr>
        <w:jc w:val="both"/>
        <w:rPr>
          <w:rFonts w:ascii="Times New Roman" w:hAnsi="Times New Roman"/>
        </w:rPr>
      </w:pPr>
      <w:r w:rsidRPr="004B09B3">
        <w:rPr>
          <w:rFonts w:ascii="Times New Roman" w:hAnsi="Times New Roman"/>
        </w:rPr>
        <w:t>Vážení spoluobčané,</w:t>
      </w:r>
    </w:p>
    <w:p w:rsidR="004B09B3" w:rsidRDefault="004B09B3" w:rsidP="00D814C9">
      <w:pPr>
        <w:jc w:val="both"/>
        <w:rPr>
          <w:rFonts w:ascii="Times New Roman" w:hAnsi="Times New Roman"/>
        </w:rPr>
      </w:pPr>
      <w:r w:rsidRPr="004B09B3">
        <w:rPr>
          <w:rFonts w:ascii="Times New Roman" w:hAnsi="Times New Roman"/>
        </w:rPr>
        <w:t>v loňském roce bylo zastupitelstvo nuceno přijmout novou vyhlášku o místním poplatku za odpady. Opustili jsme zavedený lístkový systém, protože byl ministerstvem financí označen za nepřípustný a po důkladných propočtech jsme vybrali variantu paušálního poplatku jako nejlevnější variantu pro občany. V následujícím textu podáváme souhrnnou zprávu za I. pololetí letošního roku, ze které vyplývá, že občané navzdory prvotnímu očekávání dál zodpo</w:t>
      </w:r>
      <w:r>
        <w:rPr>
          <w:rFonts w:ascii="Times New Roman" w:hAnsi="Times New Roman"/>
        </w:rPr>
        <w:t xml:space="preserve">vědně třídí odpad a výše </w:t>
      </w:r>
      <w:r w:rsidRPr="004B09B3">
        <w:rPr>
          <w:rFonts w:ascii="Times New Roman" w:hAnsi="Times New Roman"/>
        </w:rPr>
        <w:t>poplatku byla nastavena naprosto reálně tak, že při kalkulovaném doplatku města, který byl zahrnut i do předchozího lístkového systému</w:t>
      </w:r>
      <w:r>
        <w:rPr>
          <w:rFonts w:ascii="Times New Roman" w:hAnsi="Times New Roman"/>
        </w:rPr>
        <w:t>,</w:t>
      </w:r>
      <w:r w:rsidRPr="004B09B3">
        <w:rPr>
          <w:rFonts w:ascii="Times New Roman" w:hAnsi="Times New Roman"/>
        </w:rPr>
        <w:t xml:space="preserve"> nemusí být v následujícím roce měněn</w:t>
      </w:r>
      <w:r>
        <w:rPr>
          <w:rFonts w:ascii="Times New Roman" w:hAnsi="Times New Roman"/>
        </w:rPr>
        <w:t>a.</w:t>
      </w:r>
    </w:p>
    <w:p w:rsidR="004B09B3" w:rsidRPr="004B09B3" w:rsidRDefault="004B09B3" w:rsidP="00D814C9">
      <w:pPr>
        <w:jc w:val="both"/>
        <w:rPr>
          <w:rFonts w:ascii="Times New Roman" w:hAnsi="Times New Roman"/>
        </w:rPr>
      </w:pPr>
      <w:proofErr w:type="gramStart"/>
      <w:r>
        <w:rPr>
          <w:rFonts w:ascii="Times New Roman" w:hAnsi="Times New Roman"/>
          <w:b/>
        </w:rPr>
        <w:t>Děkujeme</w:t>
      </w:r>
      <w:proofErr w:type="gramEnd"/>
      <w:r>
        <w:rPr>
          <w:rFonts w:ascii="Times New Roman" w:hAnsi="Times New Roman"/>
          <w:b/>
        </w:rPr>
        <w:t xml:space="preserve"> za Vás zodpovědný </w:t>
      </w:r>
      <w:proofErr w:type="gramStart"/>
      <w:r>
        <w:rPr>
          <w:rFonts w:ascii="Times New Roman" w:hAnsi="Times New Roman"/>
          <w:b/>
        </w:rPr>
        <w:t>přístup</w:t>
      </w:r>
      <w:proofErr w:type="gramEnd"/>
      <w:r>
        <w:rPr>
          <w:rFonts w:ascii="Times New Roman" w:hAnsi="Times New Roman"/>
          <w:b/>
        </w:rPr>
        <w:t>.</w:t>
      </w:r>
    </w:p>
    <w:p w:rsidR="007A24F4" w:rsidRPr="005074A1" w:rsidRDefault="00976C43" w:rsidP="00D814C9">
      <w:pPr>
        <w:jc w:val="both"/>
        <w:rPr>
          <w:rFonts w:ascii="Times New Roman" w:hAnsi="Times New Roman"/>
          <w:b/>
        </w:rPr>
      </w:pPr>
      <w:r w:rsidRPr="005074A1">
        <w:rPr>
          <w:rFonts w:ascii="Times New Roman" w:hAnsi="Times New Roman"/>
          <w:b/>
        </w:rPr>
        <w:t xml:space="preserve">Průběžná evidence nakládání s odpady </w:t>
      </w:r>
      <w:r w:rsidR="00D814C9" w:rsidRPr="005074A1">
        <w:rPr>
          <w:rFonts w:ascii="Times New Roman" w:hAnsi="Times New Roman"/>
          <w:b/>
        </w:rPr>
        <w:t>za</w:t>
      </w:r>
      <w:r w:rsidRPr="005074A1">
        <w:rPr>
          <w:rFonts w:ascii="Times New Roman" w:hAnsi="Times New Roman"/>
          <w:b/>
        </w:rPr>
        <w:t> I. pololetí 2022</w:t>
      </w:r>
      <w:r w:rsidR="005A65F0" w:rsidRPr="005074A1">
        <w:rPr>
          <w:rFonts w:ascii="Times New Roman" w:hAnsi="Times New Roman"/>
          <w:b/>
        </w:rPr>
        <w:t xml:space="preserve"> na území města Solnice dle </w:t>
      </w:r>
      <w:proofErr w:type="gramStart"/>
      <w:r w:rsidR="005A65F0" w:rsidRPr="005074A1">
        <w:rPr>
          <w:rFonts w:ascii="Times New Roman" w:hAnsi="Times New Roman"/>
          <w:b/>
        </w:rPr>
        <w:t>par.60</w:t>
      </w:r>
      <w:proofErr w:type="gramEnd"/>
      <w:r w:rsidR="005A65F0" w:rsidRPr="005074A1">
        <w:rPr>
          <w:rFonts w:ascii="Times New Roman" w:hAnsi="Times New Roman"/>
          <w:b/>
        </w:rPr>
        <w:t xml:space="preserve"> odst. 4 zákona o odpadech</w:t>
      </w:r>
    </w:p>
    <w:p w:rsidR="0014266B" w:rsidRPr="005074A1" w:rsidRDefault="0014266B" w:rsidP="00D814C9">
      <w:pPr>
        <w:jc w:val="both"/>
        <w:rPr>
          <w:rFonts w:ascii="Times New Roman" w:hAnsi="Times New Roman"/>
        </w:rPr>
      </w:pPr>
      <w:r w:rsidRPr="005074A1">
        <w:rPr>
          <w:rFonts w:ascii="Times New Roman" w:hAnsi="Times New Roman"/>
        </w:rPr>
        <w:t>Systém shromažďování, sběru, pře</w:t>
      </w:r>
      <w:r w:rsidR="00322C9B" w:rsidRPr="005074A1">
        <w:rPr>
          <w:rFonts w:ascii="Times New Roman" w:hAnsi="Times New Roman"/>
        </w:rPr>
        <w:t xml:space="preserve">pravy, třídění a </w:t>
      </w:r>
      <w:proofErr w:type="gramStart"/>
      <w:r w:rsidRPr="005074A1">
        <w:rPr>
          <w:rFonts w:ascii="Times New Roman" w:hAnsi="Times New Roman"/>
        </w:rPr>
        <w:t xml:space="preserve">odstraňování  </w:t>
      </w:r>
      <w:r w:rsidR="005567AA" w:rsidRPr="005074A1">
        <w:rPr>
          <w:rFonts w:ascii="Times New Roman" w:hAnsi="Times New Roman"/>
        </w:rPr>
        <w:t>komunálních</w:t>
      </w:r>
      <w:proofErr w:type="gramEnd"/>
      <w:r w:rsidR="005567AA" w:rsidRPr="005074A1">
        <w:rPr>
          <w:rFonts w:ascii="Times New Roman" w:hAnsi="Times New Roman"/>
        </w:rPr>
        <w:t xml:space="preserve"> </w:t>
      </w:r>
      <w:r w:rsidRPr="005074A1">
        <w:rPr>
          <w:rFonts w:ascii="Times New Roman" w:hAnsi="Times New Roman"/>
        </w:rPr>
        <w:t>o</w:t>
      </w:r>
      <w:r w:rsidR="00C47E0C" w:rsidRPr="005074A1">
        <w:rPr>
          <w:rFonts w:ascii="Times New Roman" w:hAnsi="Times New Roman"/>
        </w:rPr>
        <w:t>dpadů vznikajících na území města</w:t>
      </w:r>
      <w:r w:rsidRPr="005074A1">
        <w:rPr>
          <w:rFonts w:ascii="Times New Roman" w:hAnsi="Times New Roman"/>
        </w:rPr>
        <w:t xml:space="preserve"> Solnice řeší o</w:t>
      </w:r>
      <w:r w:rsidR="00C47E0C" w:rsidRPr="005074A1">
        <w:rPr>
          <w:rFonts w:ascii="Times New Roman" w:hAnsi="Times New Roman"/>
        </w:rPr>
        <w:t>becně závazná vyhláška č.1/2021 o stanovení obecního systému odpadového hospodářství.</w:t>
      </w:r>
    </w:p>
    <w:p w:rsidR="00976C43" w:rsidRPr="005074A1" w:rsidRDefault="00976C43" w:rsidP="00D814C9">
      <w:pPr>
        <w:jc w:val="both"/>
        <w:rPr>
          <w:rFonts w:ascii="Times New Roman" w:hAnsi="Times New Roman"/>
        </w:rPr>
      </w:pPr>
      <w:r w:rsidRPr="005074A1">
        <w:rPr>
          <w:rFonts w:ascii="Times New Roman" w:hAnsi="Times New Roman"/>
        </w:rPr>
        <w:t>Občané města Solnice třídí následující odpady – papír, plasty, sklo, drobné kovové obaly, jedlé oleje</w:t>
      </w:r>
      <w:r w:rsidR="005567AA" w:rsidRPr="005074A1">
        <w:rPr>
          <w:rFonts w:ascii="Times New Roman" w:hAnsi="Times New Roman"/>
        </w:rPr>
        <w:t xml:space="preserve"> a tuky, </w:t>
      </w:r>
      <w:r w:rsidRPr="005074A1">
        <w:rPr>
          <w:rFonts w:ascii="Times New Roman" w:hAnsi="Times New Roman"/>
        </w:rPr>
        <w:t>bio odpady</w:t>
      </w:r>
      <w:r w:rsidR="005567AA" w:rsidRPr="005074A1">
        <w:rPr>
          <w:rFonts w:ascii="Times New Roman" w:hAnsi="Times New Roman"/>
        </w:rPr>
        <w:t xml:space="preserve"> a </w:t>
      </w:r>
      <w:proofErr w:type="gramStart"/>
      <w:r w:rsidR="005567AA" w:rsidRPr="005074A1">
        <w:rPr>
          <w:rFonts w:ascii="Times New Roman" w:hAnsi="Times New Roman"/>
        </w:rPr>
        <w:t xml:space="preserve">textil </w:t>
      </w:r>
      <w:r w:rsidRPr="005074A1">
        <w:rPr>
          <w:rFonts w:ascii="Times New Roman" w:hAnsi="Times New Roman"/>
        </w:rPr>
        <w:t xml:space="preserve"> do</w:t>
      </w:r>
      <w:proofErr w:type="gramEnd"/>
      <w:r w:rsidRPr="005074A1">
        <w:rPr>
          <w:rFonts w:ascii="Times New Roman" w:hAnsi="Times New Roman"/>
        </w:rPr>
        <w:t xml:space="preserve"> kontejnerů na tříděný odpad. Na území města Solnice a </w:t>
      </w:r>
      <w:proofErr w:type="spellStart"/>
      <w:r w:rsidRPr="005074A1">
        <w:rPr>
          <w:rFonts w:ascii="Times New Roman" w:hAnsi="Times New Roman"/>
        </w:rPr>
        <w:t>Ještětic</w:t>
      </w:r>
      <w:proofErr w:type="spellEnd"/>
      <w:r w:rsidR="005567AA" w:rsidRPr="005074A1">
        <w:rPr>
          <w:rFonts w:ascii="Times New Roman" w:hAnsi="Times New Roman"/>
        </w:rPr>
        <w:t xml:space="preserve"> máme celkem 45</w:t>
      </w:r>
      <w:r w:rsidR="0014266B" w:rsidRPr="005074A1">
        <w:rPr>
          <w:rFonts w:ascii="Times New Roman" w:hAnsi="Times New Roman"/>
        </w:rPr>
        <w:t xml:space="preserve"> stanovišť – sběrných hnízd. Lidé v rodinných zástavbác</w:t>
      </w:r>
      <w:r w:rsidR="005A65F0" w:rsidRPr="005074A1">
        <w:rPr>
          <w:rFonts w:ascii="Times New Roman" w:hAnsi="Times New Roman"/>
        </w:rPr>
        <w:t xml:space="preserve">h současně mohou třídit přímo ve </w:t>
      </w:r>
      <w:r w:rsidR="0014266B" w:rsidRPr="005074A1">
        <w:rPr>
          <w:rFonts w:ascii="Times New Roman" w:hAnsi="Times New Roman"/>
        </w:rPr>
        <w:t>své domácnosti papír a plasty do modrých a žlutých popelnic, které jim jsou jednou za měsíc vyvezeny.</w:t>
      </w:r>
      <w:r w:rsidR="005567AA" w:rsidRPr="005074A1">
        <w:rPr>
          <w:rFonts w:ascii="Times New Roman" w:hAnsi="Times New Roman"/>
        </w:rPr>
        <w:t xml:space="preserve"> Současně mohou občané města odkládat </w:t>
      </w:r>
      <w:proofErr w:type="gramStart"/>
      <w:r w:rsidR="005567AA" w:rsidRPr="005074A1">
        <w:rPr>
          <w:rFonts w:ascii="Times New Roman" w:hAnsi="Times New Roman"/>
        </w:rPr>
        <w:t>výrobky  s ukončenou</w:t>
      </w:r>
      <w:proofErr w:type="gramEnd"/>
      <w:r w:rsidR="005567AA" w:rsidRPr="005074A1">
        <w:rPr>
          <w:rFonts w:ascii="Times New Roman" w:hAnsi="Times New Roman"/>
        </w:rPr>
        <w:t xml:space="preserve"> životností přímo ve sběrném dvoře v Solnici, jedná se o elektrozařízení, baterie a akumulátory,</w:t>
      </w:r>
      <w:r w:rsidR="008F7EE8" w:rsidRPr="005074A1">
        <w:rPr>
          <w:rFonts w:ascii="Times New Roman" w:hAnsi="Times New Roman"/>
        </w:rPr>
        <w:t xml:space="preserve"> žárovky a zářivky a pneumatiky a moho</w:t>
      </w:r>
      <w:r w:rsidR="005A65F0" w:rsidRPr="005074A1">
        <w:rPr>
          <w:rFonts w:ascii="Times New Roman" w:hAnsi="Times New Roman"/>
        </w:rPr>
        <w:t xml:space="preserve">u zde i odkládat nebezpečný odpad </w:t>
      </w:r>
      <w:r w:rsidR="008F7EE8" w:rsidRPr="005074A1">
        <w:rPr>
          <w:rFonts w:ascii="Times New Roman" w:hAnsi="Times New Roman"/>
        </w:rPr>
        <w:t xml:space="preserve"> nebo velkoobjemový odpad.</w:t>
      </w:r>
      <w:r w:rsidR="00C47E0C" w:rsidRPr="005074A1">
        <w:rPr>
          <w:rFonts w:ascii="Times New Roman" w:hAnsi="Times New Roman"/>
        </w:rPr>
        <w:t xml:space="preserve"> </w:t>
      </w:r>
      <w:r w:rsidR="00322C9B" w:rsidRPr="005074A1">
        <w:rPr>
          <w:rFonts w:ascii="Times New Roman" w:hAnsi="Times New Roman"/>
        </w:rPr>
        <w:t>Zbylý komunální odpad po stanoveném vytřídění se stává s</w:t>
      </w:r>
      <w:r w:rsidR="00191319">
        <w:rPr>
          <w:rFonts w:ascii="Times New Roman" w:hAnsi="Times New Roman"/>
        </w:rPr>
        <w:t>měsným komunálním odpadem, který</w:t>
      </w:r>
      <w:r w:rsidR="00322C9B" w:rsidRPr="005074A1">
        <w:rPr>
          <w:rFonts w:ascii="Times New Roman" w:hAnsi="Times New Roman"/>
        </w:rPr>
        <w:t xml:space="preserve"> občané odkládají do svých popelnic označených příslušnou známkou</w:t>
      </w:r>
      <w:r w:rsidR="00191319">
        <w:rPr>
          <w:rFonts w:ascii="Times New Roman" w:hAnsi="Times New Roman"/>
        </w:rPr>
        <w:t xml:space="preserve"> a</w:t>
      </w:r>
      <w:r w:rsidR="00D44428" w:rsidRPr="005074A1">
        <w:rPr>
          <w:rFonts w:ascii="Times New Roman" w:hAnsi="Times New Roman"/>
        </w:rPr>
        <w:t xml:space="preserve"> </w:t>
      </w:r>
      <w:proofErr w:type="gramStart"/>
      <w:r w:rsidR="00D44428" w:rsidRPr="005074A1">
        <w:rPr>
          <w:rFonts w:ascii="Times New Roman" w:hAnsi="Times New Roman"/>
        </w:rPr>
        <w:t>které</w:t>
      </w:r>
      <w:proofErr w:type="gramEnd"/>
      <w:r w:rsidR="00D44428" w:rsidRPr="005074A1">
        <w:rPr>
          <w:rFonts w:ascii="Times New Roman" w:hAnsi="Times New Roman"/>
        </w:rPr>
        <w:t xml:space="preserve"> jsou každé druhé úterý</w:t>
      </w:r>
      <w:r w:rsidR="005074A1" w:rsidRPr="005074A1">
        <w:rPr>
          <w:rFonts w:ascii="Times New Roman" w:hAnsi="Times New Roman"/>
        </w:rPr>
        <w:t xml:space="preserve"> v</w:t>
      </w:r>
      <w:r w:rsidR="00D44428" w:rsidRPr="005074A1">
        <w:rPr>
          <w:rFonts w:ascii="Times New Roman" w:hAnsi="Times New Roman"/>
        </w:rPr>
        <w:t xml:space="preserve"> obci vyváženy. </w:t>
      </w:r>
      <w:r w:rsidR="00D44428" w:rsidRPr="005074A1">
        <w:rPr>
          <w:rFonts w:ascii="Times New Roman" w:hAnsi="Times New Roman"/>
          <w:b/>
        </w:rPr>
        <w:t>S ohledem na změnu svozové společnosti, kterou od března 2022 nově zajišťuje společnost EKOLA České Libchavy s.r.o. pa</w:t>
      </w:r>
      <w:r w:rsidR="00191319">
        <w:rPr>
          <w:rFonts w:ascii="Times New Roman" w:hAnsi="Times New Roman"/>
          <w:b/>
        </w:rPr>
        <w:t>třící majetkově společnosti Mar</w:t>
      </w:r>
      <w:r w:rsidR="00D44428" w:rsidRPr="005074A1">
        <w:rPr>
          <w:rFonts w:ascii="Times New Roman" w:hAnsi="Times New Roman"/>
          <w:b/>
        </w:rPr>
        <w:t xml:space="preserve">ius </w:t>
      </w:r>
      <w:proofErr w:type="spellStart"/>
      <w:r w:rsidR="00D44428" w:rsidRPr="005074A1">
        <w:rPr>
          <w:rFonts w:ascii="Times New Roman" w:hAnsi="Times New Roman"/>
          <w:b/>
        </w:rPr>
        <w:t>Pedersen</w:t>
      </w:r>
      <w:proofErr w:type="spellEnd"/>
      <w:r w:rsidR="00D44428" w:rsidRPr="005074A1">
        <w:rPr>
          <w:rFonts w:ascii="Times New Roman" w:hAnsi="Times New Roman"/>
          <w:b/>
        </w:rPr>
        <w:t xml:space="preserve"> a.s. je potřeba mít na zřeteli, že svozový den ve firmě zabezpečuje svozová technika od 6.00 hod. ranní do 22.00 večerní, tudíž je nutné pro bezproblémové zajištění vyprázdnění vašich popelnic, aby si každý umístil nádoby na určené místo svozové trasy v dostatečném předstihu, nejlépe ve večerních hodinách</w:t>
      </w:r>
      <w:r w:rsidR="00191319">
        <w:rPr>
          <w:rFonts w:ascii="Times New Roman" w:hAnsi="Times New Roman"/>
          <w:b/>
        </w:rPr>
        <w:t>,</w:t>
      </w:r>
      <w:bookmarkStart w:id="0" w:name="_GoBack"/>
      <w:bookmarkEnd w:id="0"/>
      <w:r w:rsidR="00D44428" w:rsidRPr="005074A1">
        <w:rPr>
          <w:rFonts w:ascii="Times New Roman" w:hAnsi="Times New Roman"/>
          <w:b/>
        </w:rPr>
        <w:t xml:space="preserve"> den před svozem!</w:t>
      </w:r>
      <w:r w:rsidR="00D44428" w:rsidRPr="005074A1">
        <w:rPr>
          <w:rFonts w:ascii="Times New Roman" w:hAnsi="Times New Roman"/>
        </w:rPr>
        <w:t xml:space="preserve">  </w:t>
      </w:r>
      <w:r w:rsidR="00D44428" w:rsidRPr="005074A1">
        <w:rPr>
          <w:rFonts w:ascii="Times New Roman" w:hAnsi="Times New Roman"/>
          <w:b/>
        </w:rPr>
        <w:t xml:space="preserve">Současně upozorňujeme na jednu novinku při svozu, kterou je možnost odložení </w:t>
      </w:r>
      <w:proofErr w:type="gramStart"/>
      <w:r w:rsidR="00D44428" w:rsidRPr="005074A1">
        <w:rPr>
          <w:rFonts w:ascii="Times New Roman" w:hAnsi="Times New Roman"/>
          <w:b/>
        </w:rPr>
        <w:t>nepotřebného  jedlého</w:t>
      </w:r>
      <w:proofErr w:type="gramEnd"/>
      <w:r w:rsidR="00D44428" w:rsidRPr="005074A1">
        <w:rPr>
          <w:rFonts w:ascii="Times New Roman" w:hAnsi="Times New Roman"/>
          <w:b/>
        </w:rPr>
        <w:t xml:space="preserve"> oleje či tuku v uzavřené láhvi o objemu 0,5 l až 2 l ponecháním na víku popelnice</w:t>
      </w:r>
      <w:r w:rsidR="005074A1" w:rsidRPr="005074A1">
        <w:rPr>
          <w:rFonts w:ascii="Times New Roman" w:hAnsi="Times New Roman"/>
          <w:b/>
        </w:rPr>
        <w:t>, která je  určená</w:t>
      </w:r>
      <w:r w:rsidR="00D44428" w:rsidRPr="005074A1">
        <w:rPr>
          <w:rFonts w:ascii="Times New Roman" w:hAnsi="Times New Roman"/>
          <w:b/>
        </w:rPr>
        <w:t xml:space="preserve"> v den svozu k </w:t>
      </w:r>
      <w:r w:rsidR="005074A1" w:rsidRPr="005074A1">
        <w:rPr>
          <w:rFonts w:ascii="Times New Roman" w:hAnsi="Times New Roman"/>
          <w:b/>
        </w:rPr>
        <w:t>vyvez</w:t>
      </w:r>
      <w:r w:rsidR="00D44428" w:rsidRPr="005074A1">
        <w:rPr>
          <w:rFonts w:ascii="Times New Roman" w:hAnsi="Times New Roman"/>
          <w:b/>
        </w:rPr>
        <w:t>ení. Obsluha svozového stroje má v </w:t>
      </w:r>
      <w:proofErr w:type="gramStart"/>
      <w:r w:rsidR="00D44428" w:rsidRPr="005074A1">
        <w:rPr>
          <w:rFonts w:ascii="Times New Roman" w:hAnsi="Times New Roman"/>
          <w:b/>
        </w:rPr>
        <w:t xml:space="preserve">rámci </w:t>
      </w:r>
      <w:r w:rsidR="005074A1" w:rsidRPr="005074A1">
        <w:rPr>
          <w:rFonts w:ascii="Times New Roman" w:hAnsi="Times New Roman"/>
          <w:b/>
        </w:rPr>
        <w:t xml:space="preserve"> techniky</w:t>
      </w:r>
      <w:proofErr w:type="gramEnd"/>
      <w:r w:rsidR="005074A1" w:rsidRPr="005074A1">
        <w:rPr>
          <w:rFonts w:ascii="Times New Roman" w:hAnsi="Times New Roman"/>
          <w:b/>
        </w:rPr>
        <w:t xml:space="preserve"> k tomuto určený prostor, kam tuto komodit</w:t>
      </w:r>
      <w:r w:rsidR="00E74A17">
        <w:rPr>
          <w:rFonts w:ascii="Times New Roman" w:hAnsi="Times New Roman"/>
          <w:b/>
        </w:rPr>
        <w:t>u</w:t>
      </w:r>
      <w:r w:rsidR="005074A1" w:rsidRPr="005074A1">
        <w:rPr>
          <w:rFonts w:ascii="Times New Roman" w:hAnsi="Times New Roman"/>
          <w:b/>
        </w:rPr>
        <w:t xml:space="preserve"> odloží a pro občana je to  alternativa, jak tento odpad správně odložit, aniž by musel navštívit sběrné místo s příslušnou nádobou</w:t>
      </w:r>
      <w:r w:rsidR="005074A1" w:rsidRPr="005074A1">
        <w:rPr>
          <w:rFonts w:ascii="Times New Roman" w:hAnsi="Times New Roman"/>
        </w:rPr>
        <w:t xml:space="preserve">. </w:t>
      </w:r>
      <w:r w:rsidR="00C47E0C" w:rsidRPr="005074A1">
        <w:rPr>
          <w:rFonts w:ascii="Times New Roman" w:hAnsi="Times New Roman"/>
        </w:rPr>
        <w:t xml:space="preserve">Všechny </w:t>
      </w:r>
      <w:r w:rsidR="005074A1" w:rsidRPr="005074A1">
        <w:rPr>
          <w:rFonts w:ascii="Times New Roman" w:hAnsi="Times New Roman"/>
        </w:rPr>
        <w:t xml:space="preserve">další </w:t>
      </w:r>
      <w:r w:rsidR="00C47E0C" w:rsidRPr="005074A1">
        <w:rPr>
          <w:rFonts w:ascii="Times New Roman" w:hAnsi="Times New Roman"/>
        </w:rPr>
        <w:t>potřebné informace k této tématice občané naleznou na webových stránkách města Solnice.</w:t>
      </w:r>
    </w:p>
    <w:p w:rsidR="00D814C9" w:rsidRPr="005074A1" w:rsidRDefault="00D814C9" w:rsidP="00D814C9">
      <w:pPr>
        <w:jc w:val="both"/>
        <w:rPr>
          <w:rFonts w:ascii="Times New Roman" w:hAnsi="Times New Roman"/>
        </w:rPr>
      </w:pPr>
      <w:r w:rsidRPr="005074A1">
        <w:rPr>
          <w:rFonts w:ascii="Times New Roman" w:hAnsi="Times New Roman"/>
        </w:rPr>
        <w:t>V následující tabulce nabízíme přehled meziro</w:t>
      </w:r>
      <w:r w:rsidR="00C47E0C" w:rsidRPr="005074A1">
        <w:rPr>
          <w:rFonts w:ascii="Times New Roman" w:hAnsi="Times New Roman"/>
        </w:rPr>
        <w:t>čního srovnání vybraných odpadů, které občané vytřídili:</w:t>
      </w:r>
    </w:p>
    <w:tbl>
      <w:tblPr>
        <w:tblW w:w="12060" w:type="dxa"/>
        <w:tblInd w:w="55" w:type="dxa"/>
        <w:tblCellMar>
          <w:left w:w="70" w:type="dxa"/>
          <w:right w:w="70" w:type="dxa"/>
        </w:tblCellMar>
        <w:tblLook w:val="04A0" w:firstRow="1" w:lastRow="0" w:firstColumn="1" w:lastColumn="0" w:noHBand="0" w:noVBand="1"/>
      </w:tblPr>
      <w:tblGrid>
        <w:gridCol w:w="4000"/>
        <w:gridCol w:w="1660"/>
        <w:gridCol w:w="1660"/>
        <w:gridCol w:w="1660"/>
        <w:gridCol w:w="1660"/>
        <w:gridCol w:w="1420"/>
      </w:tblGrid>
      <w:tr w:rsidR="00B940DD" w:rsidRPr="00B940DD" w:rsidTr="00B940DD">
        <w:trPr>
          <w:trHeight w:val="510"/>
        </w:trPr>
        <w:tc>
          <w:tcPr>
            <w:tcW w:w="12060" w:type="dxa"/>
            <w:gridSpan w:val="6"/>
            <w:tcBorders>
              <w:top w:val="nil"/>
              <w:left w:val="nil"/>
              <w:bottom w:val="nil"/>
              <w:right w:val="nil"/>
            </w:tcBorders>
            <w:shd w:val="clear" w:color="auto" w:fill="auto"/>
            <w:vAlign w:val="center"/>
            <w:hideMark/>
          </w:tcPr>
          <w:p w:rsidR="00B940DD" w:rsidRPr="00B940DD" w:rsidRDefault="00B940DD" w:rsidP="00B940DD">
            <w:pPr>
              <w:spacing w:after="0" w:line="240" w:lineRule="auto"/>
              <w:rPr>
                <w:rFonts w:ascii="Times New Roman" w:eastAsia="Times New Roman" w:hAnsi="Times New Roman"/>
                <w:b/>
                <w:bCs/>
                <w:sz w:val="28"/>
                <w:szCs w:val="28"/>
                <w:lang w:eastAsia="cs-CZ"/>
              </w:rPr>
            </w:pPr>
          </w:p>
        </w:tc>
      </w:tr>
      <w:tr w:rsidR="00B940DD" w:rsidRPr="00B940DD" w:rsidTr="00B940DD">
        <w:trPr>
          <w:trHeight w:val="510"/>
        </w:trPr>
        <w:tc>
          <w:tcPr>
            <w:tcW w:w="4000" w:type="dxa"/>
            <w:tcBorders>
              <w:top w:val="nil"/>
              <w:left w:val="nil"/>
              <w:bottom w:val="nil"/>
              <w:right w:val="nil"/>
            </w:tcBorders>
            <w:shd w:val="clear" w:color="auto" w:fill="auto"/>
            <w:noWrap/>
            <w:vAlign w:val="bottom"/>
            <w:hideMark/>
          </w:tcPr>
          <w:p w:rsidR="00B940DD" w:rsidRPr="00B940DD" w:rsidRDefault="00B940DD" w:rsidP="00B940DD">
            <w:pPr>
              <w:spacing w:after="0" w:line="240" w:lineRule="auto"/>
              <w:rPr>
                <w:rFonts w:ascii="Arial" w:eastAsia="Times New Roman" w:hAnsi="Arial" w:cs="Arial"/>
                <w:sz w:val="20"/>
                <w:szCs w:val="20"/>
                <w:lang w:eastAsia="cs-CZ"/>
              </w:rPr>
            </w:pPr>
          </w:p>
        </w:tc>
        <w:tc>
          <w:tcPr>
            <w:tcW w:w="1660" w:type="dxa"/>
            <w:tcBorders>
              <w:top w:val="nil"/>
              <w:left w:val="nil"/>
              <w:bottom w:val="nil"/>
              <w:right w:val="nil"/>
            </w:tcBorders>
            <w:shd w:val="clear" w:color="auto" w:fill="auto"/>
            <w:vAlign w:val="center"/>
            <w:hideMark/>
          </w:tcPr>
          <w:p w:rsidR="00B940DD" w:rsidRPr="00B940DD" w:rsidRDefault="00B940DD" w:rsidP="00B940DD">
            <w:pPr>
              <w:spacing w:after="0" w:line="240" w:lineRule="auto"/>
              <w:rPr>
                <w:rFonts w:ascii="Times New Roman" w:eastAsia="Times New Roman" w:hAnsi="Times New Roman"/>
                <w:b/>
                <w:bCs/>
                <w:sz w:val="24"/>
                <w:szCs w:val="24"/>
                <w:u w:val="single"/>
                <w:lang w:eastAsia="cs-CZ"/>
              </w:rPr>
            </w:pPr>
          </w:p>
        </w:tc>
        <w:tc>
          <w:tcPr>
            <w:tcW w:w="1660" w:type="dxa"/>
            <w:tcBorders>
              <w:top w:val="nil"/>
              <w:left w:val="nil"/>
              <w:bottom w:val="nil"/>
              <w:right w:val="nil"/>
            </w:tcBorders>
            <w:shd w:val="clear" w:color="auto" w:fill="auto"/>
            <w:vAlign w:val="center"/>
            <w:hideMark/>
          </w:tcPr>
          <w:p w:rsidR="00B940DD" w:rsidRPr="00B940DD" w:rsidRDefault="00B940DD" w:rsidP="00B940DD">
            <w:pPr>
              <w:spacing w:after="0" w:line="240" w:lineRule="auto"/>
              <w:rPr>
                <w:rFonts w:ascii="Times New Roman" w:eastAsia="Times New Roman" w:hAnsi="Times New Roman"/>
                <w:b/>
                <w:bCs/>
                <w:sz w:val="24"/>
                <w:szCs w:val="24"/>
                <w:u w:val="single"/>
                <w:lang w:eastAsia="cs-CZ"/>
              </w:rPr>
            </w:pPr>
          </w:p>
        </w:tc>
        <w:tc>
          <w:tcPr>
            <w:tcW w:w="1660" w:type="dxa"/>
            <w:tcBorders>
              <w:top w:val="nil"/>
              <w:left w:val="nil"/>
              <w:bottom w:val="nil"/>
              <w:right w:val="nil"/>
            </w:tcBorders>
            <w:shd w:val="clear" w:color="auto" w:fill="auto"/>
            <w:noWrap/>
            <w:vAlign w:val="bottom"/>
            <w:hideMark/>
          </w:tcPr>
          <w:p w:rsidR="00B940DD" w:rsidRPr="00B940DD" w:rsidRDefault="00B940DD" w:rsidP="00B940DD">
            <w:pPr>
              <w:spacing w:after="0" w:line="240" w:lineRule="auto"/>
              <w:rPr>
                <w:rFonts w:ascii="Arial" w:eastAsia="Times New Roman" w:hAnsi="Arial" w:cs="Arial"/>
                <w:sz w:val="20"/>
                <w:szCs w:val="20"/>
                <w:lang w:eastAsia="cs-CZ"/>
              </w:rPr>
            </w:pPr>
          </w:p>
        </w:tc>
        <w:tc>
          <w:tcPr>
            <w:tcW w:w="1660" w:type="dxa"/>
            <w:tcBorders>
              <w:top w:val="nil"/>
              <w:left w:val="nil"/>
              <w:bottom w:val="nil"/>
              <w:right w:val="nil"/>
            </w:tcBorders>
            <w:shd w:val="clear" w:color="auto" w:fill="auto"/>
            <w:noWrap/>
            <w:vAlign w:val="bottom"/>
            <w:hideMark/>
          </w:tcPr>
          <w:p w:rsidR="00B940DD" w:rsidRPr="00B940DD" w:rsidRDefault="00B940DD" w:rsidP="00B940DD">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B940DD" w:rsidRPr="00B940DD" w:rsidRDefault="00B940DD" w:rsidP="00B940DD">
            <w:pPr>
              <w:spacing w:after="0" w:line="240" w:lineRule="auto"/>
              <w:rPr>
                <w:rFonts w:ascii="Arial" w:eastAsia="Times New Roman" w:hAnsi="Arial" w:cs="Arial"/>
                <w:sz w:val="20"/>
                <w:szCs w:val="20"/>
                <w:lang w:eastAsia="cs-CZ"/>
              </w:rPr>
            </w:pPr>
          </w:p>
        </w:tc>
      </w:tr>
      <w:tr w:rsidR="00B940DD" w:rsidRPr="00B940DD" w:rsidTr="00B940DD">
        <w:trPr>
          <w:trHeight w:val="522"/>
        </w:trPr>
        <w:tc>
          <w:tcPr>
            <w:tcW w:w="40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jc w:val="center"/>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Druh odpadu</w:t>
            </w:r>
          </w:p>
        </w:tc>
        <w:tc>
          <w:tcPr>
            <w:tcW w:w="3320" w:type="dxa"/>
            <w:gridSpan w:val="2"/>
            <w:tcBorders>
              <w:top w:val="single" w:sz="8" w:space="0" w:color="auto"/>
              <w:left w:val="nil"/>
              <w:bottom w:val="single" w:sz="4" w:space="0" w:color="auto"/>
              <w:right w:val="single" w:sz="8" w:space="0" w:color="000000"/>
            </w:tcBorders>
            <w:shd w:val="clear" w:color="auto" w:fill="auto"/>
            <w:vAlign w:val="center"/>
            <w:hideMark/>
          </w:tcPr>
          <w:p w:rsidR="00B940DD" w:rsidRPr="00B940DD" w:rsidRDefault="00B940DD" w:rsidP="00B940DD">
            <w:pPr>
              <w:spacing w:after="0" w:line="240" w:lineRule="auto"/>
              <w:jc w:val="center"/>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Pololetí r. 2021</w:t>
            </w:r>
          </w:p>
        </w:tc>
        <w:tc>
          <w:tcPr>
            <w:tcW w:w="3320" w:type="dxa"/>
            <w:gridSpan w:val="2"/>
            <w:tcBorders>
              <w:top w:val="single" w:sz="8" w:space="0" w:color="auto"/>
              <w:left w:val="nil"/>
              <w:bottom w:val="single" w:sz="4" w:space="0" w:color="auto"/>
              <w:right w:val="single" w:sz="8" w:space="0" w:color="000000"/>
            </w:tcBorders>
            <w:shd w:val="clear" w:color="auto" w:fill="auto"/>
            <w:vAlign w:val="center"/>
            <w:hideMark/>
          </w:tcPr>
          <w:p w:rsidR="00B940DD" w:rsidRPr="00B940DD" w:rsidRDefault="00B940DD" w:rsidP="00B940DD">
            <w:pPr>
              <w:spacing w:after="0" w:line="240" w:lineRule="auto"/>
              <w:jc w:val="center"/>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 xml:space="preserve">1. pololetí r. 2022 </w:t>
            </w:r>
          </w:p>
        </w:tc>
        <w:tc>
          <w:tcPr>
            <w:tcW w:w="1420" w:type="dxa"/>
            <w:vMerge w:val="restart"/>
            <w:tcBorders>
              <w:top w:val="single" w:sz="8" w:space="0" w:color="auto"/>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jc w:val="center"/>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Procentuální změna (%)</w:t>
            </w:r>
          </w:p>
        </w:tc>
      </w:tr>
      <w:tr w:rsidR="00B940DD" w:rsidRPr="00B940DD" w:rsidTr="00B940DD">
        <w:trPr>
          <w:trHeight w:val="522"/>
        </w:trPr>
        <w:tc>
          <w:tcPr>
            <w:tcW w:w="4000" w:type="dxa"/>
            <w:vMerge/>
            <w:tcBorders>
              <w:top w:val="single" w:sz="8" w:space="0" w:color="auto"/>
              <w:left w:val="single" w:sz="8" w:space="0" w:color="auto"/>
              <w:bottom w:val="single" w:sz="4" w:space="0" w:color="auto"/>
              <w:right w:val="single" w:sz="8" w:space="0" w:color="auto"/>
            </w:tcBorders>
            <w:vAlign w:val="center"/>
            <w:hideMark/>
          </w:tcPr>
          <w:p w:rsidR="00B940DD" w:rsidRPr="00B940DD" w:rsidRDefault="00B940DD" w:rsidP="00B940DD">
            <w:pPr>
              <w:spacing w:after="0" w:line="240" w:lineRule="auto"/>
              <w:rPr>
                <w:rFonts w:ascii="Times New Roman" w:eastAsia="Times New Roman" w:hAnsi="Times New Roman"/>
                <w:sz w:val="24"/>
                <w:szCs w:val="24"/>
                <w:lang w:eastAsia="cs-CZ"/>
              </w:rPr>
            </w:pPr>
          </w:p>
        </w:tc>
        <w:tc>
          <w:tcPr>
            <w:tcW w:w="1660" w:type="dxa"/>
            <w:tcBorders>
              <w:top w:val="nil"/>
              <w:left w:val="nil"/>
              <w:bottom w:val="nil"/>
              <w:right w:val="single" w:sz="4" w:space="0" w:color="auto"/>
            </w:tcBorders>
            <w:shd w:val="clear" w:color="auto" w:fill="auto"/>
            <w:vAlign w:val="center"/>
            <w:hideMark/>
          </w:tcPr>
          <w:p w:rsidR="00B940DD" w:rsidRPr="00B940DD" w:rsidRDefault="00B940DD" w:rsidP="00B940DD">
            <w:pPr>
              <w:spacing w:after="0" w:line="240" w:lineRule="auto"/>
              <w:jc w:val="center"/>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množství (t)</w:t>
            </w:r>
          </w:p>
        </w:tc>
        <w:tc>
          <w:tcPr>
            <w:tcW w:w="1660" w:type="dxa"/>
            <w:tcBorders>
              <w:top w:val="nil"/>
              <w:left w:val="nil"/>
              <w:bottom w:val="nil"/>
              <w:right w:val="single" w:sz="8" w:space="0" w:color="auto"/>
            </w:tcBorders>
            <w:shd w:val="clear" w:color="auto" w:fill="auto"/>
            <w:vAlign w:val="center"/>
            <w:hideMark/>
          </w:tcPr>
          <w:p w:rsidR="00B940DD" w:rsidRPr="00B940DD" w:rsidRDefault="00B940DD" w:rsidP="00B940DD">
            <w:pPr>
              <w:spacing w:after="0" w:line="240" w:lineRule="auto"/>
              <w:jc w:val="center"/>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množství (kg)</w:t>
            </w:r>
          </w:p>
        </w:tc>
        <w:tc>
          <w:tcPr>
            <w:tcW w:w="1660" w:type="dxa"/>
            <w:tcBorders>
              <w:top w:val="nil"/>
              <w:left w:val="nil"/>
              <w:bottom w:val="nil"/>
              <w:right w:val="single" w:sz="4" w:space="0" w:color="auto"/>
            </w:tcBorders>
            <w:shd w:val="clear" w:color="auto" w:fill="auto"/>
            <w:vAlign w:val="center"/>
            <w:hideMark/>
          </w:tcPr>
          <w:p w:rsidR="00B940DD" w:rsidRPr="00B940DD" w:rsidRDefault="00B940DD" w:rsidP="00B940DD">
            <w:pPr>
              <w:spacing w:after="0" w:line="240" w:lineRule="auto"/>
              <w:jc w:val="center"/>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množství (t)</w:t>
            </w:r>
          </w:p>
        </w:tc>
        <w:tc>
          <w:tcPr>
            <w:tcW w:w="1660" w:type="dxa"/>
            <w:tcBorders>
              <w:top w:val="nil"/>
              <w:left w:val="nil"/>
              <w:bottom w:val="nil"/>
              <w:right w:val="single" w:sz="8" w:space="0" w:color="auto"/>
            </w:tcBorders>
            <w:shd w:val="clear" w:color="auto" w:fill="auto"/>
            <w:vAlign w:val="center"/>
            <w:hideMark/>
          </w:tcPr>
          <w:p w:rsidR="00B940DD" w:rsidRPr="00B940DD" w:rsidRDefault="00B940DD" w:rsidP="00B940DD">
            <w:pPr>
              <w:spacing w:after="0" w:line="240" w:lineRule="auto"/>
              <w:jc w:val="center"/>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množství (kg)</w:t>
            </w:r>
          </w:p>
        </w:tc>
        <w:tc>
          <w:tcPr>
            <w:tcW w:w="1420" w:type="dxa"/>
            <w:vMerge/>
            <w:tcBorders>
              <w:top w:val="single" w:sz="8" w:space="0" w:color="auto"/>
              <w:left w:val="nil"/>
              <w:bottom w:val="single" w:sz="4" w:space="0" w:color="auto"/>
              <w:right w:val="single" w:sz="8" w:space="0" w:color="auto"/>
            </w:tcBorders>
            <w:vAlign w:val="center"/>
            <w:hideMark/>
          </w:tcPr>
          <w:p w:rsidR="00B940DD" w:rsidRPr="00B940DD" w:rsidRDefault="00B940DD" w:rsidP="00B940DD">
            <w:pPr>
              <w:spacing w:after="0" w:line="240" w:lineRule="auto"/>
              <w:rPr>
                <w:rFonts w:ascii="Times New Roman" w:eastAsia="Times New Roman" w:hAnsi="Times New Roman"/>
                <w:sz w:val="24"/>
                <w:szCs w:val="24"/>
                <w:lang w:eastAsia="cs-CZ"/>
              </w:rPr>
            </w:pPr>
          </w:p>
        </w:tc>
      </w:tr>
      <w:tr w:rsidR="00B940DD" w:rsidRPr="00B940DD" w:rsidTr="00B940DD">
        <w:trPr>
          <w:trHeight w:val="522"/>
        </w:trPr>
        <w:tc>
          <w:tcPr>
            <w:tcW w:w="40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Papír a lepenka</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22,009000</w:t>
            </w:r>
          </w:p>
        </w:tc>
        <w:tc>
          <w:tcPr>
            <w:tcW w:w="1660" w:type="dxa"/>
            <w:tcBorders>
              <w:top w:val="single" w:sz="8" w:space="0" w:color="auto"/>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22 009,000</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23,084544</w:t>
            </w:r>
          </w:p>
        </w:tc>
        <w:tc>
          <w:tcPr>
            <w:tcW w:w="1660" w:type="dxa"/>
            <w:tcBorders>
              <w:top w:val="single" w:sz="8" w:space="0" w:color="auto"/>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23 084,544</w:t>
            </w:r>
          </w:p>
        </w:tc>
        <w:tc>
          <w:tcPr>
            <w:tcW w:w="1420" w:type="dxa"/>
            <w:tcBorders>
              <w:top w:val="single" w:sz="8" w:space="0" w:color="auto"/>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+ 4,89</w:t>
            </w:r>
          </w:p>
        </w:tc>
      </w:tr>
      <w:tr w:rsidR="00B940DD" w:rsidRPr="00B940DD" w:rsidTr="00B940DD">
        <w:trPr>
          <w:trHeight w:val="522"/>
        </w:trPr>
        <w:tc>
          <w:tcPr>
            <w:tcW w:w="4000" w:type="dxa"/>
            <w:tcBorders>
              <w:top w:val="nil"/>
              <w:left w:val="single" w:sz="8" w:space="0" w:color="auto"/>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Sklo</w:t>
            </w:r>
          </w:p>
        </w:tc>
        <w:tc>
          <w:tcPr>
            <w:tcW w:w="1660" w:type="dxa"/>
            <w:tcBorders>
              <w:top w:val="nil"/>
              <w:left w:val="nil"/>
              <w:bottom w:val="single" w:sz="4" w:space="0" w:color="auto"/>
              <w:right w:val="single" w:sz="4"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24,075000</w:t>
            </w:r>
          </w:p>
        </w:tc>
        <w:tc>
          <w:tcPr>
            <w:tcW w:w="1660" w:type="dxa"/>
            <w:tcBorders>
              <w:top w:val="nil"/>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24 075,000</w:t>
            </w:r>
          </w:p>
        </w:tc>
        <w:tc>
          <w:tcPr>
            <w:tcW w:w="1660" w:type="dxa"/>
            <w:tcBorders>
              <w:top w:val="nil"/>
              <w:left w:val="nil"/>
              <w:bottom w:val="single" w:sz="4" w:space="0" w:color="auto"/>
              <w:right w:val="single" w:sz="4"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18,498434</w:t>
            </w:r>
          </w:p>
        </w:tc>
        <w:tc>
          <w:tcPr>
            <w:tcW w:w="1660" w:type="dxa"/>
            <w:tcBorders>
              <w:top w:val="nil"/>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18 498,434</w:t>
            </w:r>
          </w:p>
        </w:tc>
        <w:tc>
          <w:tcPr>
            <w:tcW w:w="1420" w:type="dxa"/>
            <w:tcBorders>
              <w:top w:val="nil"/>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- 23,16</w:t>
            </w:r>
          </w:p>
        </w:tc>
      </w:tr>
      <w:tr w:rsidR="00B940DD" w:rsidRPr="00B940DD" w:rsidTr="00B940DD">
        <w:trPr>
          <w:trHeight w:val="522"/>
        </w:trPr>
        <w:tc>
          <w:tcPr>
            <w:tcW w:w="4000" w:type="dxa"/>
            <w:tcBorders>
              <w:top w:val="nil"/>
              <w:left w:val="single" w:sz="8" w:space="0" w:color="auto"/>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Plasty</w:t>
            </w:r>
          </w:p>
        </w:tc>
        <w:tc>
          <w:tcPr>
            <w:tcW w:w="1660" w:type="dxa"/>
            <w:tcBorders>
              <w:top w:val="nil"/>
              <w:left w:val="nil"/>
              <w:bottom w:val="single" w:sz="4" w:space="0" w:color="auto"/>
              <w:right w:val="single" w:sz="4"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33,886500</w:t>
            </w:r>
          </w:p>
        </w:tc>
        <w:tc>
          <w:tcPr>
            <w:tcW w:w="1660" w:type="dxa"/>
            <w:tcBorders>
              <w:top w:val="nil"/>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33 886,500</w:t>
            </w:r>
          </w:p>
        </w:tc>
        <w:tc>
          <w:tcPr>
            <w:tcW w:w="1660" w:type="dxa"/>
            <w:tcBorders>
              <w:top w:val="nil"/>
              <w:left w:val="nil"/>
              <w:bottom w:val="single" w:sz="4" w:space="0" w:color="auto"/>
              <w:right w:val="single" w:sz="4"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34,631340</w:t>
            </w:r>
          </w:p>
        </w:tc>
        <w:tc>
          <w:tcPr>
            <w:tcW w:w="1660" w:type="dxa"/>
            <w:tcBorders>
              <w:top w:val="nil"/>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34 631,340</w:t>
            </w:r>
          </w:p>
        </w:tc>
        <w:tc>
          <w:tcPr>
            <w:tcW w:w="1420" w:type="dxa"/>
            <w:tcBorders>
              <w:top w:val="nil"/>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+ 2,19</w:t>
            </w:r>
          </w:p>
        </w:tc>
      </w:tr>
      <w:tr w:rsidR="00B940DD" w:rsidRPr="00B940DD" w:rsidTr="00B940DD">
        <w:trPr>
          <w:trHeight w:val="522"/>
        </w:trPr>
        <w:tc>
          <w:tcPr>
            <w:tcW w:w="4000" w:type="dxa"/>
            <w:tcBorders>
              <w:top w:val="nil"/>
              <w:left w:val="single" w:sz="8" w:space="0" w:color="auto"/>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Kovy</w:t>
            </w:r>
          </w:p>
        </w:tc>
        <w:tc>
          <w:tcPr>
            <w:tcW w:w="1660" w:type="dxa"/>
            <w:tcBorders>
              <w:top w:val="nil"/>
              <w:left w:val="nil"/>
              <w:bottom w:val="single" w:sz="4" w:space="0" w:color="auto"/>
              <w:right w:val="single" w:sz="4"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3,886500</w:t>
            </w:r>
          </w:p>
        </w:tc>
        <w:tc>
          <w:tcPr>
            <w:tcW w:w="1660" w:type="dxa"/>
            <w:tcBorders>
              <w:top w:val="nil"/>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3 886,500</w:t>
            </w:r>
          </w:p>
        </w:tc>
        <w:tc>
          <w:tcPr>
            <w:tcW w:w="1660" w:type="dxa"/>
            <w:tcBorders>
              <w:top w:val="nil"/>
              <w:left w:val="nil"/>
              <w:bottom w:val="single" w:sz="4" w:space="0" w:color="auto"/>
              <w:right w:val="single" w:sz="4"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1,934590</w:t>
            </w:r>
          </w:p>
        </w:tc>
        <w:tc>
          <w:tcPr>
            <w:tcW w:w="1660" w:type="dxa"/>
            <w:tcBorders>
              <w:top w:val="nil"/>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1 934,590</w:t>
            </w:r>
          </w:p>
        </w:tc>
        <w:tc>
          <w:tcPr>
            <w:tcW w:w="1420" w:type="dxa"/>
            <w:tcBorders>
              <w:top w:val="nil"/>
              <w:left w:val="nil"/>
              <w:bottom w:val="single" w:sz="4"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- 50,22</w:t>
            </w:r>
          </w:p>
        </w:tc>
      </w:tr>
      <w:tr w:rsidR="00B940DD" w:rsidRPr="00B940DD" w:rsidTr="00B940DD">
        <w:trPr>
          <w:trHeight w:val="522"/>
        </w:trPr>
        <w:tc>
          <w:tcPr>
            <w:tcW w:w="4000" w:type="dxa"/>
            <w:tcBorders>
              <w:top w:val="nil"/>
              <w:left w:val="single" w:sz="8" w:space="0" w:color="auto"/>
              <w:bottom w:val="single" w:sz="8"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Směsný komunální odpad</w:t>
            </w:r>
          </w:p>
        </w:tc>
        <w:tc>
          <w:tcPr>
            <w:tcW w:w="1660" w:type="dxa"/>
            <w:tcBorders>
              <w:top w:val="nil"/>
              <w:left w:val="nil"/>
              <w:bottom w:val="single" w:sz="8" w:space="0" w:color="auto"/>
              <w:right w:val="single" w:sz="4"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121,943271</w:t>
            </w:r>
          </w:p>
        </w:tc>
        <w:tc>
          <w:tcPr>
            <w:tcW w:w="1660" w:type="dxa"/>
            <w:tcBorders>
              <w:top w:val="nil"/>
              <w:left w:val="nil"/>
              <w:bottom w:val="single" w:sz="8"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121 943,271</w:t>
            </w:r>
          </w:p>
        </w:tc>
        <w:tc>
          <w:tcPr>
            <w:tcW w:w="1660" w:type="dxa"/>
            <w:tcBorders>
              <w:top w:val="nil"/>
              <w:left w:val="nil"/>
              <w:bottom w:val="single" w:sz="8" w:space="0" w:color="auto"/>
              <w:right w:val="single" w:sz="4"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136,942350</w:t>
            </w:r>
          </w:p>
        </w:tc>
        <w:tc>
          <w:tcPr>
            <w:tcW w:w="1660" w:type="dxa"/>
            <w:tcBorders>
              <w:top w:val="nil"/>
              <w:left w:val="nil"/>
              <w:bottom w:val="single" w:sz="8"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136 942,350</w:t>
            </w:r>
          </w:p>
        </w:tc>
        <w:tc>
          <w:tcPr>
            <w:tcW w:w="1420" w:type="dxa"/>
            <w:tcBorders>
              <w:top w:val="nil"/>
              <w:left w:val="nil"/>
              <w:bottom w:val="single" w:sz="8" w:space="0" w:color="auto"/>
              <w:right w:val="single" w:sz="8" w:space="0" w:color="auto"/>
            </w:tcBorders>
            <w:shd w:val="clear" w:color="auto" w:fill="auto"/>
            <w:vAlign w:val="center"/>
            <w:hideMark/>
          </w:tcPr>
          <w:p w:rsidR="00B940DD" w:rsidRPr="00B940DD" w:rsidRDefault="00B940DD" w:rsidP="00B940DD">
            <w:pPr>
              <w:spacing w:after="0" w:line="240" w:lineRule="auto"/>
              <w:ind w:firstLineChars="100" w:firstLine="240"/>
              <w:jc w:val="right"/>
              <w:rPr>
                <w:rFonts w:ascii="Times New Roman" w:eastAsia="Times New Roman" w:hAnsi="Times New Roman"/>
                <w:sz w:val="24"/>
                <w:szCs w:val="24"/>
                <w:lang w:eastAsia="cs-CZ"/>
              </w:rPr>
            </w:pPr>
            <w:r w:rsidRPr="00B940DD">
              <w:rPr>
                <w:rFonts w:ascii="Times New Roman" w:eastAsia="Times New Roman" w:hAnsi="Times New Roman"/>
                <w:sz w:val="24"/>
                <w:szCs w:val="24"/>
                <w:lang w:eastAsia="cs-CZ"/>
              </w:rPr>
              <w:t>+ 12,30</w:t>
            </w:r>
          </w:p>
        </w:tc>
      </w:tr>
      <w:tr w:rsidR="00B940DD" w:rsidRPr="00B940DD" w:rsidTr="00B940DD">
        <w:trPr>
          <w:trHeight w:val="522"/>
        </w:trPr>
        <w:tc>
          <w:tcPr>
            <w:tcW w:w="4000" w:type="dxa"/>
            <w:tcBorders>
              <w:top w:val="nil"/>
              <w:left w:val="nil"/>
              <w:bottom w:val="nil"/>
              <w:right w:val="nil"/>
            </w:tcBorders>
            <w:shd w:val="clear" w:color="auto" w:fill="auto"/>
            <w:vAlign w:val="center"/>
            <w:hideMark/>
          </w:tcPr>
          <w:p w:rsidR="00B940DD" w:rsidRPr="00B940DD" w:rsidRDefault="00B940DD" w:rsidP="00B940DD">
            <w:pPr>
              <w:spacing w:after="0" w:line="240" w:lineRule="auto"/>
              <w:rPr>
                <w:rFonts w:ascii="Times New Roman" w:eastAsia="Times New Roman" w:hAnsi="Times New Roman"/>
                <w:sz w:val="24"/>
                <w:szCs w:val="24"/>
                <w:lang w:eastAsia="cs-CZ"/>
              </w:rPr>
            </w:pPr>
          </w:p>
        </w:tc>
        <w:tc>
          <w:tcPr>
            <w:tcW w:w="1660" w:type="dxa"/>
            <w:tcBorders>
              <w:top w:val="nil"/>
              <w:left w:val="nil"/>
              <w:bottom w:val="nil"/>
              <w:right w:val="nil"/>
            </w:tcBorders>
            <w:shd w:val="clear" w:color="auto" w:fill="auto"/>
            <w:vAlign w:val="center"/>
            <w:hideMark/>
          </w:tcPr>
          <w:p w:rsidR="00B940DD" w:rsidRPr="00B940DD" w:rsidRDefault="00B940DD" w:rsidP="00B940DD">
            <w:pPr>
              <w:spacing w:after="0" w:line="240" w:lineRule="auto"/>
              <w:jc w:val="center"/>
              <w:rPr>
                <w:rFonts w:ascii="Times New Roman" w:eastAsia="Times New Roman" w:hAnsi="Times New Roman"/>
                <w:sz w:val="24"/>
                <w:szCs w:val="24"/>
                <w:lang w:eastAsia="cs-CZ"/>
              </w:rPr>
            </w:pPr>
          </w:p>
        </w:tc>
        <w:tc>
          <w:tcPr>
            <w:tcW w:w="1660" w:type="dxa"/>
            <w:tcBorders>
              <w:top w:val="nil"/>
              <w:left w:val="nil"/>
              <w:bottom w:val="nil"/>
              <w:right w:val="nil"/>
            </w:tcBorders>
            <w:shd w:val="clear" w:color="auto" w:fill="auto"/>
            <w:vAlign w:val="center"/>
            <w:hideMark/>
          </w:tcPr>
          <w:p w:rsidR="00B940DD" w:rsidRPr="00B940DD" w:rsidRDefault="00B940DD" w:rsidP="00B940DD">
            <w:pPr>
              <w:spacing w:after="0" w:line="240" w:lineRule="auto"/>
              <w:jc w:val="center"/>
              <w:rPr>
                <w:rFonts w:ascii="Times New Roman" w:eastAsia="Times New Roman" w:hAnsi="Times New Roman"/>
                <w:sz w:val="24"/>
                <w:szCs w:val="24"/>
                <w:lang w:eastAsia="cs-CZ"/>
              </w:rPr>
            </w:pPr>
          </w:p>
        </w:tc>
        <w:tc>
          <w:tcPr>
            <w:tcW w:w="1660" w:type="dxa"/>
            <w:tcBorders>
              <w:top w:val="nil"/>
              <w:left w:val="nil"/>
              <w:bottom w:val="nil"/>
              <w:right w:val="nil"/>
            </w:tcBorders>
            <w:shd w:val="clear" w:color="auto" w:fill="auto"/>
            <w:vAlign w:val="center"/>
            <w:hideMark/>
          </w:tcPr>
          <w:p w:rsidR="00B940DD" w:rsidRPr="00B940DD" w:rsidRDefault="00B940DD" w:rsidP="00B940DD">
            <w:pPr>
              <w:spacing w:after="0" w:line="240" w:lineRule="auto"/>
              <w:jc w:val="center"/>
              <w:rPr>
                <w:rFonts w:ascii="Times New Roman" w:eastAsia="Times New Roman" w:hAnsi="Times New Roman"/>
                <w:sz w:val="20"/>
                <w:szCs w:val="20"/>
                <w:lang w:eastAsia="cs-CZ"/>
              </w:rPr>
            </w:pPr>
          </w:p>
        </w:tc>
        <w:tc>
          <w:tcPr>
            <w:tcW w:w="1660" w:type="dxa"/>
            <w:tcBorders>
              <w:top w:val="nil"/>
              <w:left w:val="nil"/>
              <w:bottom w:val="nil"/>
              <w:right w:val="nil"/>
            </w:tcBorders>
            <w:shd w:val="clear" w:color="auto" w:fill="auto"/>
            <w:noWrap/>
            <w:vAlign w:val="bottom"/>
            <w:hideMark/>
          </w:tcPr>
          <w:p w:rsidR="00B940DD" w:rsidRPr="00B940DD" w:rsidRDefault="00B940DD" w:rsidP="00B940DD">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B940DD" w:rsidRPr="00B940DD" w:rsidRDefault="00B940DD" w:rsidP="00B940DD">
            <w:pPr>
              <w:spacing w:after="0" w:line="240" w:lineRule="auto"/>
              <w:rPr>
                <w:rFonts w:ascii="Arial" w:eastAsia="Times New Roman" w:hAnsi="Arial" w:cs="Arial"/>
                <w:sz w:val="20"/>
                <w:szCs w:val="20"/>
                <w:lang w:eastAsia="cs-CZ"/>
              </w:rPr>
            </w:pPr>
          </w:p>
        </w:tc>
      </w:tr>
    </w:tbl>
    <w:p w:rsidR="00B940DD" w:rsidRPr="00E74A17" w:rsidRDefault="00D814C9" w:rsidP="00B940DD">
      <w:pPr>
        <w:tabs>
          <w:tab w:val="left" w:pos="1276"/>
        </w:tabs>
        <w:spacing w:after="120"/>
        <w:jc w:val="both"/>
        <w:rPr>
          <w:rFonts w:ascii="Times New Roman" w:hAnsi="Times New Roman"/>
          <w:b/>
          <w:sz w:val="28"/>
          <w:szCs w:val="28"/>
        </w:rPr>
      </w:pPr>
      <w:r w:rsidRPr="005074A1">
        <w:rPr>
          <w:rFonts w:ascii="Times New Roman" w:hAnsi="Times New Roman"/>
          <w:b/>
          <w:sz w:val="28"/>
          <w:szCs w:val="28"/>
        </w:rPr>
        <w:t>A zde e</w:t>
      </w:r>
      <w:r w:rsidR="00B940DD" w:rsidRPr="005074A1">
        <w:rPr>
          <w:rFonts w:ascii="Times New Roman" w:hAnsi="Times New Roman"/>
          <w:b/>
          <w:sz w:val="28"/>
          <w:szCs w:val="28"/>
        </w:rPr>
        <w:t>konomické zhodnocení odpadového hospodářství za 1. pololetí 2022</w:t>
      </w:r>
    </w:p>
    <w:p w:rsidR="00B940DD" w:rsidRPr="005074A1" w:rsidRDefault="00D814C9" w:rsidP="00B940DD">
      <w:pPr>
        <w:tabs>
          <w:tab w:val="right" w:leader="dot" w:pos="8789"/>
        </w:tabs>
        <w:spacing w:after="120"/>
        <w:jc w:val="both"/>
        <w:rPr>
          <w:rFonts w:ascii="Times New Roman" w:hAnsi="Times New Roman"/>
        </w:rPr>
      </w:pPr>
      <w:r w:rsidRPr="005074A1">
        <w:rPr>
          <w:rFonts w:ascii="Times New Roman" w:hAnsi="Times New Roman"/>
        </w:rPr>
        <w:t>Výdaje na s</w:t>
      </w:r>
      <w:r w:rsidR="00B940DD" w:rsidRPr="005074A1">
        <w:rPr>
          <w:rFonts w:ascii="Times New Roman" w:hAnsi="Times New Roman"/>
        </w:rPr>
        <w:t>voz odpadu do 30. 6. 2022</w:t>
      </w:r>
      <w:r w:rsidR="00B940DD" w:rsidRPr="005074A1">
        <w:rPr>
          <w:rFonts w:ascii="Times New Roman" w:hAnsi="Times New Roman"/>
        </w:rPr>
        <w:tab/>
        <w:t>1.314.346,42 Kč</w:t>
      </w:r>
    </w:p>
    <w:p w:rsidR="00B940DD" w:rsidRPr="005074A1" w:rsidRDefault="00B940DD" w:rsidP="00B940DD">
      <w:pPr>
        <w:pBdr>
          <w:top w:val="single" w:sz="4" w:space="1" w:color="auto"/>
        </w:pBdr>
        <w:tabs>
          <w:tab w:val="right" w:leader="dot" w:pos="8789"/>
        </w:tabs>
        <w:spacing w:after="120"/>
        <w:jc w:val="both"/>
        <w:rPr>
          <w:rFonts w:ascii="Times New Roman" w:hAnsi="Times New Roman"/>
        </w:rPr>
      </w:pPr>
    </w:p>
    <w:p w:rsidR="00B940DD" w:rsidRPr="005074A1" w:rsidRDefault="00B940DD" w:rsidP="00B940DD">
      <w:pPr>
        <w:tabs>
          <w:tab w:val="right" w:leader="dot" w:pos="8789"/>
        </w:tabs>
        <w:spacing w:after="120"/>
        <w:jc w:val="both"/>
        <w:rPr>
          <w:rFonts w:ascii="Times New Roman" w:hAnsi="Times New Roman"/>
        </w:rPr>
      </w:pPr>
      <w:r w:rsidRPr="005074A1">
        <w:rPr>
          <w:rFonts w:ascii="Times New Roman" w:hAnsi="Times New Roman"/>
        </w:rPr>
        <w:t xml:space="preserve">Příjmy od EKO-KOM a. s. do 30. 6. </w:t>
      </w:r>
      <w:proofErr w:type="gramStart"/>
      <w:r w:rsidRPr="005074A1">
        <w:rPr>
          <w:rFonts w:ascii="Times New Roman" w:hAnsi="Times New Roman"/>
        </w:rPr>
        <w:t>2022</w:t>
      </w:r>
      <w:r w:rsidR="00E74A17">
        <w:rPr>
          <w:rFonts w:ascii="Times New Roman" w:hAnsi="Times New Roman"/>
        </w:rPr>
        <w:t>-dotace</w:t>
      </w:r>
      <w:proofErr w:type="gramEnd"/>
      <w:r w:rsidRPr="005074A1">
        <w:rPr>
          <w:rFonts w:ascii="Times New Roman" w:hAnsi="Times New Roman"/>
        </w:rPr>
        <w:tab/>
        <w:t>332.893,04 Kč</w:t>
      </w:r>
    </w:p>
    <w:p w:rsidR="00B940DD" w:rsidRPr="005074A1" w:rsidRDefault="00B940DD" w:rsidP="00B940DD">
      <w:pPr>
        <w:tabs>
          <w:tab w:val="right" w:leader="dot" w:pos="8789"/>
        </w:tabs>
        <w:spacing w:after="120"/>
        <w:jc w:val="both"/>
        <w:rPr>
          <w:rFonts w:ascii="Times New Roman" w:hAnsi="Times New Roman"/>
        </w:rPr>
      </w:pPr>
      <w:r w:rsidRPr="005074A1">
        <w:rPr>
          <w:rFonts w:ascii="Times New Roman" w:hAnsi="Times New Roman"/>
        </w:rPr>
        <w:t>Vybrané poplatky do 30. 6. 2022</w:t>
      </w:r>
      <w:r w:rsidRPr="005074A1">
        <w:rPr>
          <w:rFonts w:ascii="Times New Roman" w:hAnsi="Times New Roman"/>
        </w:rPr>
        <w:tab/>
        <w:t>1.257.480,00 Kč</w:t>
      </w:r>
    </w:p>
    <w:p w:rsidR="00B940DD" w:rsidRPr="005074A1" w:rsidRDefault="00B940DD" w:rsidP="00B940DD">
      <w:pPr>
        <w:pBdr>
          <w:top w:val="single" w:sz="4" w:space="1" w:color="auto"/>
        </w:pBdr>
        <w:tabs>
          <w:tab w:val="right" w:leader="dot" w:pos="8789"/>
        </w:tabs>
        <w:spacing w:after="120"/>
        <w:jc w:val="both"/>
        <w:rPr>
          <w:rFonts w:ascii="Times New Roman" w:hAnsi="Times New Roman"/>
        </w:rPr>
      </w:pPr>
      <w:r w:rsidRPr="005074A1">
        <w:rPr>
          <w:rFonts w:ascii="Times New Roman" w:hAnsi="Times New Roman"/>
        </w:rPr>
        <w:t>Příjmy k 30. 6. 2022</w:t>
      </w:r>
      <w:r w:rsidR="00E74A17">
        <w:rPr>
          <w:rFonts w:ascii="Times New Roman" w:hAnsi="Times New Roman"/>
        </w:rPr>
        <w:t xml:space="preserve"> celkem</w:t>
      </w:r>
      <w:r w:rsidRPr="005074A1">
        <w:rPr>
          <w:rFonts w:ascii="Times New Roman" w:hAnsi="Times New Roman"/>
        </w:rPr>
        <w:tab/>
        <w:t>1.590.373,04 Kč</w:t>
      </w:r>
    </w:p>
    <w:p w:rsidR="00E74A17" w:rsidRPr="005074A1" w:rsidRDefault="00E74A17" w:rsidP="00E74A17">
      <w:pPr>
        <w:tabs>
          <w:tab w:val="right" w:leader="dot" w:pos="8789"/>
        </w:tabs>
        <w:spacing w:after="120"/>
        <w:jc w:val="both"/>
        <w:rPr>
          <w:rFonts w:ascii="Times New Roman" w:hAnsi="Times New Roman"/>
        </w:rPr>
      </w:pPr>
      <w:r w:rsidRPr="005074A1">
        <w:rPr>
          <w:rFonts w:ascii="Times New Roman" w:hAnsi="Times New Roman"/>
        </w:rPr>
        <w:t xml:space="preserve">Poměrná část poplatků za pololetí </w:t>
      </w:r>
      <w:r w:rsidRPr="005074A1">
        <w:rPr>
          <w:rFonts w:ascii="Times New Roman" w:hAnsi="Times New Roman"/>
        </w:rPr>
        <w:tab/>
        <w:t>628.740,00 Kč</w:t>
      </w:r>
    </w:p>
    <w:p w:rsidR="00E74A17" w:rsidRDefault="00E74A17" w:rsidP="00B940DD">
      <w:pPr>
        <w:tabs>
          <w:tab w:val="right" w:leader="dot" w:pos="8789"/>
        </w:tabs>
        <w:spacing w:after="120"/>
        <w:jc w:val="both"/>
        <w:rPr>
          <w:rFonts w:ascii="Times New Roman" w:hAnsi="Times New Roman"/>
        </w:rPr>
      </w:pPr>
    </w:p>
    <w:p w:rsidR="00B940DD" w:rsidRPr="005074A1" w:rsidRDefault="00C36B5F" w:rsidP="00B940DD">
      <w:pPr>
        <w:tabs>
          <w:tab w:val="right" w:leader="dot" w:pos="8789"/>
        </w:tabs>
        <w:spacing w:after="120"/>
        <w:jc w:val="both"/>
        <w:rPr>
          <w:rFonts w:ascii="Times New Roman" w:hAnsi="Times New Roman"/>
        </w:rPr>
      </w:pPr>
      <w:r w:rsidRPr="005074A1">
        <w:rPr>
          <w:rFonts w:ascii="Times New Roman" w:hAnsi="Times New Roman"/>
        </w:rPr>
        <w:t>Propočty:</w:t>
      </w:r>
    </w:p>
    <w:p w:rsidR="00B940DD" w:rsidRPr="005074A1" w:rsidRDefault="00B940DD" w:rsidP="00B940DD">
      <w:pPr>
        <w:tabs>
          <w:tab w:val="right" w:leader="dot" w:pos="8789"/>
        </w:tabs>
        <w:spacing w:after="120"/>
        <w:jc w:val="both"/>
        <w:rPr>
          <w:rFonts w:ascii="Times New Roman" w:hAnsi="Times New Roman"/>
        </w:rPr>
      </w:pPr>
      <w:r w:rsidRPr="005074A1">
        <w:rPr>
          <w:rFonts w:ascii="Times New Roman" w:hAnsi="Times New Roman"/>
        </w:rPr>
        <w:t>Náklady na svod odpadu do 30. 6. 2022</w:t>
      </w:r>
      <w:r w:rsidRPr="005074A1">
        <w:rPr>
          <w:rFonts w:ascii="Times New Roman" w:hAnsi="Times New Roman"/>
        </w:rPr>
        <w:tab/>
        <w:t>1.314.346,42 Kč</w:t>
      </w:r>
    </w:p>
    <w:p w:rsidR="00B940DD" w:rsidRPr="005074A1" w:rsidRDefault="00B940DD" w:rsidP="00B940DD">
      <w:pPr>
        <w:tabs>
          <w:tab w:val="right" w:leader="dot" w:pos="8789"/>
        </w:tabs>
        <w:spacing w:after="120"/>
        <w:jc w:val="both"/>
        <w:rPr>
          <w:rFonts w:ascii="Times New Roman" w:hAnsi="Times New Roman"/>
        </w:rPr>
      </w:pPr>
      <w:r w:rsidRPr="005074A1">
        <w:rPr>
          <w:rFonts w:ascii="Times New Roman" w:hAnsi="Times New Roman"/>
        </w:rPr>
        <w:lastRenderedPageBreak/>
        <w:t>Příjmy od EKO-KOM a. s.</w:t>
      </w:r>
      <w:r w:rsidR="00E74A17">
        <w:rPr>
          <w:rFonts w:ascii="Times New Roman" w:hAnsi="Times New Roman"/>
        </w:rPr>
        <w:t xml:space="preserve"> dotace</w:t>
      </w:r>
      <w:r w:rsidRPr="005074A1">
        <w:rPr>
          <w:rFonts w:ascii="Times New Roman" w:hAnsi="Times New Roman"/>
        </w:rPr>
        <w:tab/>
        <w:t>- 332.893,04 Kč</w:t>
      </w:r>
    </w:p>
    <w:p w:rsidR="00B940DD" w:rsidRPr="005074A1" w:rsidRDefault="00B940DD" w:rsidP="00B940DD">
      <w:pPr>
        <w:tabs>
          <w:tab w:val="right" w:leader="dot" w:pos="8789"/>
        </w:tabs>
        <w:spacing w:after="120"/>
        <w:jc w:val="both"/>
        <w:rPr>
          <w:rFonts w:ascii="Times New Roman" w:hAnsi="Times New Roman"/>
        </w:rPr>
      </w:pPr>
      <w:r w:rsidRPr="005074A1">
        <w:rPr>
          <w:rFonts w:ascii="Times New Roman" w:hAnsi="Times New Roman"/>
        </w:rPr>
        <w:t>Poměrná část vybraných poplatků za pololetí</w:t>
      </w:r>
      <w:r w:rsidRPr="005074A1">
        <w:rPr>
          <w:rFonts w:ascii="Times New Roman" w:hAnsi="Times New Roman"/>
        </w:rPr>
        <w:tab/>
        <w:t>- 628.740,00 Kč</w:t>
      </w:r>
    </w:p>
    <w:p w:rsidR="00B940DD" w:rsidRPr="005074A1" w:rsidRDefault="00B940DD" w:rsidP="00B940DD">
      <w:pPr>
        <w:pBdr>
          <w:top w:val="single" w:sz="4" w:space="1" w:color="auto"/>
        </w:pBdr>
        <w:tabs>
          <w:tab w:val="right" w:leader="dot" w:pos="8789"/>
        </w:tabs>
        <w:spacing w:after="120"/>
        <w:jc w:val="both"/>
        <w:rPr>
          <w:rFonts w:ascii="Times New Roman" w:hAnsi="Times New Roman"/>
        </w:rPr>
      </w:pPr>
      <w:r w:rsidRPr="005074A1">
        <w:rPr>
          <w:rFonts w:ascii="Times New Roman" w:hAnsi="Times New Roman"/>
        </w:rPr>
        <w:t>Doplatek města</w:t>
      </w:r>
      <w:r w:rsidRPr="005074A1">
        <w:rPr>
          <w:rFonts w:ascii="Times New Roman" w:hAnsi="Times New Roman"/>
        </w:rPr>
        <w:tab/>
        <w:t>352.713,38 Kč</w:t>
      </w:r>
    </w:p>
    <w:p w:rsidR="00B940DD" w:rsidRPr="005074A1" w:rsidRDefault="00B940DD" w:rsidP="00B940DD">
      <w:pPr>
        <w:tabs>
          <w:tab w:val="right" w:leader="dot" w:pos="8789"/>
        </w:tabs>
        <w:spacing w:after="120"/>
        <w:jc w:val="both"/>
        <w:rPr>
          <w:rFonts w:ascii="Times New Roman" w:hAnsi="Times New Roman"/>
        </w:rPr>
      </w:pPr>
      <w:r w:rsidRPr="005074A1">
        <w:rPr>
          <w:rFonts w:ascii="Times New Roman" w:hAnsi="Times New Roman"/>
        </w:rPr>
        <w:t>Plánovaný doplatek města na pololetí</w:t>
      </w:r>
      <w:r w:rsidRPr="005074A1">
        <w:rPr>
          <w:rFonts w:ascii="Times New Roman" w:hAnsi="Times New Roman"/>
        </w:rPr>
        <w:tab/>
        <w:t>- 250.000,00 Kč</w:t>
      </w:r>
    </w:p>
    <w:p w:rsidR="00B940DD" w:rsidRPr="005074A1" w:rsidRDefault="00B940DD" w:rsidP="00B940DD">
      <w:pPr>
        <w:tabs>
          <w:tab w:val="right" w:leader="dot" w:pos="8789"/>
        </w:tabs>
        <w:spacing w:after="120"/>
        <w:jc w:val="both"/>
        <w:rPr>
          <w:rFonts w:ascii="Times New Roman" w:hAnsi="Times New Roman"/>
        </w:rPr>
      </w:pPr>
      <w:r w:rsidRPr="005074A1">
        <w:rPr>
          <w:rFonts w:ascii="Times New Roman" w:hAnsi="Times New Roman"/>
        </w:rPr>
        <w:t>Vliv slev za pololetí (důchodci, děti do tří let)</w:t>
      </w:r>
      <w:r w:rsidRPr="005074A1">
        <w:rPr>
          <w:rFonts w:ascii="Times New Roman" w:hAnsi="Times New Roman"/>
        </w:rPr>
        <w:tab/>
        <w:t>- 93.420,00 Kč</w:t>
      </w:r>
    </w:p>
    <w:p w:rsidR="00B940DD" w:rsidRPr="005074A1" w:rsidRDefault="00B940DD" w:rsidP="00B940DD">
      <w:pPr>
        <w:pBdr>
          <w:top w:val="single" w:sz="4" w:space="1" w:color="auto"/>
        </w:pBdr>
        <w:tabs>
          <w:tab w:val="right" w:leader="dot" w:pos="8789"/>
        </w:tabs>
        <w:spacing w:after="120"/>
        <w:jc w:val="both"/>
        <w:rPr>
          <w:rFonts w:ascii="Times New Roman" w:hAnsi="Times New Roman"/>
        </w:rPr>
      </w:pPr>
      <w:r w:rsidRPr="005074A1">
        <w:rPr>
          <w:rFonts w:ascii="Times New Roman" w:hAnsi="Times New Roman"/>
        </w:rPr>
        <w:t xml:space="preserve">Navýšení </w:t>
      </w:r>
      <w:r w:rsidR="00E74A17">
        <w:rPr>
          <w:rFonts w:ascii="Times New Roman" w:hAnsi="Times New Roman"/>
        </w:rPr>
        <w:t>nákladů</w:t>
      </w:r>
      <w:r w:rsidRPr="005074A1">
        <w:rPr>
          <w:rFonts w:ascii="Times New Roman" w:hAnsi="Times New Roman"/>
        </w:rPr>
        <w:t xml:space="preserve"> celkem</w:t>
      </w:r>
      <w:r w:rsidRPr="005074A1">
        <w:rPr>
          <w:rFonts w:ascii="Times New Roman" w:hAnsi="Times New Roman"/>
        </w:rPr>
        <w:tab/>
        <w:t>9.293,38 Kč</w:t>
      </w:r>
    </w:p>
    <w:p w:rsidR="00B940DD" w:rsidRPr="005074A1" w:rsidRDefault="00B940DD" w:rsidP="00B940DD">
      <w:pPr>
        <w:tabs>
          <w:tab w:val="right" w:leader="dot" w:pos="8789"/>
        </w:tabs>
        <w:spacing w:after="120"/>
        <w:jc w:val="both"/>
        <w:rPr>
          <w:rFonts w:ascii="Times New Roman" w:hAnsi="Times New Roman"/>
        </w:rPr>
      </w:pPr>
      <w:r w:rsidRPr="005074A1">
        <w:rPr>
          <w:rFonts w:ascii="Times New Roman" w:hAnsi="Times New Roman"/>
        </w:rPr>
        <w:t>Počet obyvatel města</w:t>
      </w:r>
      <w:r w:rsidRPr="005074A1">
        <w:rPr>
          <w:rFonts w:ascii="Times New Roman" w:hAnsi="Times New Roman"/>
        </w:rPr>
        <w:tab/>
        <w:t>1. 960 osob</w:t>
      </w:r>
    </w:p>
    <w:p w:rsidR="00B940DD" w:rsidRPr="005074A1" w:rsidRDefault="00B940DD" w:rsidP="00B940DD">
      <w:pPr>
        <w:pBdr>
          <w:top w:val="single" w:sz="4" w:space="1" w:color="auto"/>
        </w:pBdr>
        <w:tabs>
          <w:tab w:val="right" w:leader="dot" w:pos="8789"/>
        </w:tabs>
        <w:spacing w:after="120"/>
        <w:jc w:val="both"/>
        <w:rPr>
          <w:rFonts w:ascii="Times New Roman" w:hAnsi="Times New Roman"/>
        </w:rPr>
      </w:pPr>
      <w:r w:rsidRPr="005074A1">
        <w:rPr>
          <w:rFonts w:ascii="Times New Roman" w:hAnsi="Times New Roman"/>
        </w:rPr>
        <w:t>Navýšení poplatku na jednoho obyvatele za pololetí</w:t>
      </w:r>
      <w:r w:rsidRPr="005074A1">
        <w:rPr>
          <w:rFonts w:ascii="Times New Roman" w:hAnsi="Times New Roman"/>
        </w:rPr>
        <w:tab/>
        <w:t>4,74 Kč</w:t>
      </w:r>
    </w:p>
    <w:p w:rsidR="005567AA" w:rsidRPr="005074A1" w:rsidRDefault="005567AA" w:rsidP="005567A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581"/>
      </w:tblGrid>
      <w:tr w:rsidR="005567AA" w:rsidRPr="005074A1">
        <w:trPr>
          <w:trHeight w:val="125"/>
        </w:trPr>
        <w:tc>
          <w:tcPr>
            <w:tcW w:w="8581" w:type="dxa"/>
          </w:tcPr>
          <w:p w:rsidR="005567AA" w:rsidRPr="005074A1" w:rsidRDefault="005074A1" w:rsidP="005567AA">
            <w:pPr>
              <w:pStyle w:val="Default"/>
              <w:rPr>
                <w:sz w:val="28"/>
                <w:szCs w:val="28"/>
              </w:rPr>
            </w:pPr>
            <w:r w:rsidRPr="005074A1">
              <w:rPr>
                <w:sz w:val="28"/>
                <w:szCs w:val="28"/>
              </w:rPr>
              <w:t>Závěrečné shrnutí:</w:t>
            </w:r>
          </w:p>
        </w:tc>
      </w:tr>
    </w:tbl>
    <w:p w:rsidR="005567AA" w:rsidRPr="005074A1" w:rsidRDefault="00C36B5F" w:rsidP="00BB4068">
      <w:pPr>
        <w:pStyle w:val="Default"/>
        <w:jc w:val="both"/>
      </w:pPr>
      <w:r w:rsidRPr="005074A1">
        <w:t>Naše loňská analýza</w:t>
      </w:r>
      <w:r w:rsidR="00831EF3" w:rsidRPr="005074A1">
        <w:t xml:space="preserve"> ohledně nastavení maximálně </w:t>
      </w:r>
      <w:proofErr w:type="gramStart"/>
      <w:r w:rsidR="00831EF3" w:rsidRPr="005074A1">
        <w:t>možných</w:t>
      </w:r>
      <w:r w:rsidR="005074A1" w:rsidRPr="005074A1">
        <w:t xml:space="preserve"> a </w:t>
      </w:r>
      <w:r w:rsidR="00831EF3" w:rsidRPr="005074A1">
        <w:t xml:space="preserve"> vstřícných</w:t>
      </w:r>
      <w:proofErr w:type="gramEnd"/>
      <w:r w:rsidR="00831EF3" w:rsidRPr="005074A1">
        <w:t xml:space="preserve"> podmínek pro usnadnění t</w:t>
      </w:r>
      <w:r w:rsidR="005074A1" w:rsidRPr="005074A1">
        <w:t>řídění občanům</w:t>
      </w:r>
      <w:r w:rsidR="00831EF3" w:rsidRPr="005074A1">
        <w:t xml:space="preserve"> s cílem stanovit cenu </w:t>
      </w:r>
      <w:r w:rsidR="005074A1" w:rsidRPr="005074A1">
        <w:t xml:space="preserve">této služby </w:t>
      </w:r>
      <w:r w:rsidR="00831EF3" w:rsidRPr="005074A1">
        <w:t xml:space="preserve"> tak, aby byla co nejn</w:t>
      </w:r>
      <w:r w:rsidRPr="005074A1">
        <w:t xml:space="preserve">ižší, se </w:t>
      </w:r>
      <w:r w:rsidR="005074A1" w:rsidRPr="005074A1">
        <w:t xml:space="preserve"> aktuálně </w:t>
      </w:r>
      <w:r w:rsidRPr="005074A1">
        <w:t>ukáz</w:t>
      </w:r>
      <w:r w:rsidR="005074A1" w:rsidRPr="005074A1">
        <w:t xml:space="preserve">ala </w:t>
      </w:r>
      <w:r w:rsidRPr="005074A1">
        <w:t xml:space="preserve"> jako reálně nastavená cena služby. Jak je vidět z výše uvedeného</w:t>
      </w:r>
      <w:r w:rsidR="00D7685D">
        <w:t>,</w:t>
      </w:r>
      <w:r w:rsidRPr="005074A1">
        <w:t xml:space="preserve"> </w:t>
      </w:r>
      <w:r w:rsidR="00831EF3" w:rsidRPr="005074A1">
        <w:t xml:space="preserve">po </w:t>
      </w:r>
      <w:proofErr w:type="gramStart"/>
      <w:r w:rsidR="00831EF3" w:rsidRPr="005074A1">
        <w:t>vyhodnocení   výdajů</w:t>
      </w:r>
      <w:proofErr w:type="gramEnd"/>
      <w:r w:rsidR="00831EF3" w:rsidRPr="005074A1">
        <w:t xml:space="preserve"> na odstraňování komunálních odpadů v I. pololetí roku 2022 ve vztahu k </w:t>
      </w:r>
      <w:r w:rsidR="005074A1" w:rsidRPr="005074A1">
        <w:t>příjmům</w:t>
      </w:r>
      <w:r w:rsidRPr="005074A1">
        <w:t xml:space="preserve">, tak </w:t>
      </w:r>
      <w:r w:rsidR="00831EF3" w:rsidRPr="005074A1">
        <w:rPr>
          <w:b/>
        </w:rPr>
        <w:t>poplatek ve výši 720,- Kč/ osoba/rok byl nastaven adekvátně, v tuto chvíli je překročen ve výši 4.7</w:t>
      </w:r>
      <w:r w:rsidRPr="005074A1">
        <w:rPr>
          <w:b/>
        </w:rPr>
        <w:t>4</w:t>
      </w:r>
      <w:r w:rsidR="00831EF3" w:rsidRPr="005074A1">
        <w:rPr>
          <w:b/>
        </w:rPr>
        <w:t xml:space="preserve"> </w:t>
      </w:r>
      <w:r w:rsidRPr="005074A1">
        <w:rPr>
          <w:b/>
        </w:rPr>
        <w:t xml:space="preserve">Kč </w:t>
      </w:r>
      <w:r w:rsidR="00831EF3" w:rsidRPr="005074A1">
        <w:rPr>
          <w:b/>
        </w:rPr>
        <w:t>na osobu a nebude zřejmě nutné uvažovat o jejím přenastavení pro rok 2023</w:t>
      </w:r>
      <w:r w:rsidR="00831EF3" w:rsidRPr="005074A1">
        <w:t xml:space="preserve">. V každém případě stále platí, že záleží na každém z nás, abychom </w:t>
      </w:r>
      <w:r w:rsidRPr="005074A1">
        <w:t xml:space="preserve">nejen </w:t>
      </w:r>
      <w:r w:rsidR="00831EF3" w:rsidRPr="005074A1">
        <w:t xml:space="preserve">udrželi co nejnižší cenu za </w:t>
      </w:r>
      <w:r w:rsidRPr="005074A1">
        <w:t xml:space="preserve">tuto službu ve formě poplatku na občana, ale i cenu za </w:t>
      </w:r>
      <w:r w:rsidR="00831EF3" w:rsidRPr="005074A1">
        <w:t>skládkování a nedopadly na nás sankční platby za nadlimitní produkci komunálního odpadu na občana</w:t>
      </w:r>
      <w:r w:rsidR="00B940DD" w:rsidRPr="005074A1">
        <w:t>, což nám při stávající produkci odpadu přepočteného na 1 obyvatele Solnice aktuálně naš</w:t>
      </w:r>
      <w:r w:rsidRPr="005074A1">
        <w:t xml:space="preserve">těstí nehrozí. Ovšem i to to jeden z ukazatelů, který si každá obec musí hlídat a své občany na tento </w:t>
      </w:r>
      <w:proofErr w:type="gramStart"/>
      <w:r w:rsidRPr="005074A1">
        <w:t xml:space="preserve">fakt  </w:t>
      </w:r>
      <w:r w:rsidR="00D7685D">
        <w:t>trvale</w:t>
      </w:r>
      <w:proofErr w:type="gramEnd"/>
      <w:r w:rsidR="00D7685D">
        <w:t xml:space="preserve"> upozorňovat. </w:t>
      </w:r>
      <w:proofErr w:type="gramStart"/>
      <w:r w:rsidR="00D7685D">
        <w:t>T</w:t>
      </w:r>
      <w:r w:rsidR="00BB4068" w:rsidRPr="005074A1">
        <w:t>edy</w:t>
      </w:r>
      <w:r w:rsidR="00D7685D">
        <w:t xml:space="preserve">, </w:t>
      </w:r>
      <w:r w:rsidR="00BB4068" w:rsidRPr="005074A1">
        <w:t xml:space="preserve"> </w:t>
      </w:r>
      <w:r w:rsidRPr="005074A1">
        <w:t>že</w:t>
      </w:r>
      <w:proofErr w:type="gramEnd"/>
      <w:r w:rsidRPr="005074A1">
        <w:t xml:space="preserve"> v případě nadlimitní produkce komunálního odpadu se dramaticky zvyšuje cena za jeho následnou likvidaci</w:t>
      </w:r>
      <w:r w:rsidR="00BB4068" w:rsidRPr="005074A1">
        <w:t>, což by se opět propsalo do zvyšující se ceny pro občany</w:t>
      </w:r>
      <w:r w:rsidR="00D7685D">
        <w:t>,</w:t>
      </w:r>
      <w:r w:rsidR="00BB4068" w:rsidRPr="005074A1">
        <w:t xml:space="preserve"> a to není v žádném případě zájem nikoho z nás. </w:t>
      </w:r>
      <w:r w:rsidR="00E74A17">
        <w:t>V tuto chvíli odpovídá míra třídění v Solnici stavu, který je zákonem stanoven jako cílová hodnota pro rok 2027.</w:t>
      </w:r>
    </w:p>
    <w:p w:rsidR="00D7685D" w:rsidRDefault="006A46F2" w:rsidP="00BB4068">
      <w:pPr>
        <w:pStyle w:val="Default"/>
        <w:jc w:val="both"/>
      </w:pPr>
      <w:r w:rsidRPr="005074A1">
        <w:t>Na závěr bychom chtěli informovat</w:t>
      </w:r>
      <w:r w:rsidR="00BB4068" w:rsidRPr="005074A1">
        <w:t xml:space="preserve"> občany města Solnice, že obec může stanovit sazbu poplatku za obecní systém odpadového hospodářství až do výše 1200 Kč, stanovení sazby je čistě v uvážení zastupitelstva obce a není k tomu nut</w:t>
      </w:r>
      <w:r w:rsidRPr="005074A1">
        <w:t>n</w:t>
      </w:r>
      <w:r w:rsidR="00BB4068" w:rsidRPr="005074A1">
        <w:t>é provádět žádné zúčtování nákladů.</w:t>
      </w:r>
      <w:r w:rsidR="00E74A17">
        <w:t xml:space="preserve"> Chceme ale </w:t>
      </w:r>
      <w:r w:rsidR="00E74A17" w:rsidRPr="005074A1">
        <w:t xml:space="preserve">občanům </w:t>
      </w:r>
      <w:r w:rsidR="00E74A17" w:rsidRPr="005074A1">
        <w:rPr>
          <w:b/>
        </w:rPr>
        <w:t>podávat maximálně transparentní ekonomické přehledy o odpadech tak, aby si každý mohl udělat přehled, jak si tato služba „vede“.</w:t>
      </w:r>
      <w:r w:rsidR="00E74A17" w:rsidRPr="005074A1">
        <w:t xml:space="preserve"> </w:t>
      </w:r>
      <w:r w:rsidR="00E74A17">
        <w:t xml:space="preserve"> A j</w:t>
      </w:r>
      <w:r w:rsidR="005074A1" w:rsidRPr="005074A1">
        <w:t xml:space="preserve">enom pro připomenutí </w:t>
      </w:r>
      <w:r w:rsidR="00E74A17">
        <w:t>uvádíme, že k</w:t>
      </w:r>
      <w:r w:rsidR="00D7685D">
        <w:t>e</w:t>
      </w:r>
      <w:r w:rsidR="00E74A17">
        <w:t xml:space="preserve"> změně ve způsobu zpoplatnění sytému odpadů jsme byli </w:t>
      </w:r>
      <w:proofErr w:type="gramStart"/>
      <w:r w:rsidR="00E74A17">
        <w:t xml:space="preserve">donuceni </w:t>
      </w:r>
      <w:r w:rsidR="005074A1" w:rsidRPr="005074A1">
        <w:t xml:space="preserve"> </w:t>
      </w:r>
      <w:r w:rsidR="00BB4068" w:rsidRPr="005074A1">
        <w:t>pod</w:t>
      </w:r>
      <w:proofErr w:type="gramEnd"/>
      <w:r w:rsidR="00BB4068" w:rsidRPr="005074A1">
        <w:t xml:space="preserve"> vlivem zásadní</w:t>
      </w:r>
      <w:r w:rsidR="005074A1" w:rsidRPr="005074A1">
        <w:t xml:space="preserve"> a pro nás nepříjemné </w:t>
      </w:r>
      <w:r w:rsidR="00D7685D">
        <w:t xml:space="preserve"> legislativní novinky</w:t>
      </w:r>
      <w:r w:rsidR="00BB4068" w:rsidRPr="005074A1">
        <w:t xml:space="preserve">, která </w:t>
      </w:r>
      <w:r w:rsidRPr="005074A1">
        <w:t xml:space="preserve">nám znemožnila nadále </w:t>
      </w:r>
      <w:r w:rsidR="00BB4068" w:rsidRPr="005074A1">
        <w:t xml:space="preserve"> </w:t>
      </w:r>
      <w:r w:rsidR="00D7685D">
        <w:t>řešit zpoplatnění</w:t>
      </w:r>
      <w:r w:rsidRPr="005074A1">
        <w:t xml:space="preserve"> odpadu smluvní</w:t>
      </w:r>
      <w:r w:rsidR="00D7685D">
        <w:t xml:space="preserve"> úhradou</w:t>
      </w:r>
      <w:r w:rsidR="00E74A17">
        <w:t>. Nicméně na základě všech vyhodnocení a dostupných informací se ukazuje</w:t>
      </w:r>
      <w:r w:rsidR="00D7685D">
        <w:t>, že ze zákonem umožněných způsobů úhrady nákladů na odpady, je paušální poplatek ekonomicky pro občany nejvýhodnější, neboť ostatní varianty znamenají výrazné navýšení provozních nákladů na svoz.</w:t>
      </w:r>
    </w:p>
    <w:p w:rsidR="00322C9B" w:rsidRPr="005074A1" w:rsidRDefault="006A46F2" w:rsidP="00BB4068">
      <w:pPr>
        <w:pStyle w:val="Default"/>
        <w:jc w:val="both"/>
      </w:pPr>
      <w:r w:rsidRPr="005074A1">
        <w:rPr>
          <w:b/>
        </w:rPr>
        <w:lastRenderedPageBreak/>
        <w:t>V tuto chvíli chceme ubezpečit všechny občany</w:t>
      </w:r>
      <w:r w:rsidRPr="005074A1">
        <w:t xml:space="preserve">, že ačkoliv je ve </w:t>
      </w:r>
      <w:r w:rsidR="00C47E0C" w:rsidRPr="005074A1">
        <w:t>většině měst a dokonce i v</w:t>
      </w:r>
      <w:r w:rsidRPr="005074A1">
        <w:t xml:space="preserve"> obcích, které jsou velikostně menší než</w:t>
      </w:r>
      <w:r w:rsidR="00322C9B" w:rsidRPr="005074A1">
        <w:t xml:space="preserve"> naše město</w:t>
      </w:r>
      <w:r w:rsidR="00C47E0C" w:rsidRPr="005074A1">
        <w:t>,</w:t>
      </w:r>
      <w:r w:rsidRPr="005074A1">
        <w:t xml:space="preserve"> poplatky za odpad v</w:t>
      </w:r>
      <w:r w:rsidR="00C47E0C" w:rsidRPr="005074A1">
        <w:t>e vyšších sazbách, výjimkou nejs</w:t>
      </w:r>
      <w:r w:rsidRPr="005074A1">
        <w:t xml:space="preserve">ou ani poplatky v maximálně </w:t>
      </w:r>
      <w:r w:rsidR="00C47E0C" w:rsidRPr="005074A1">
        <w:t xml:space="preserve">možné výši, </w:t>
      </w:r>
      <w:r w:rsidR="00322C9B" w:rsidRPr="005074A1">
        <w:t xml:space="preserve">tak </w:t>
      </w:r>
      <w:r w:rsidR="00322C9B" w:rsidRPr="005074A1">
        <w:rPr>
          <w:b/>
        </w:rPr>
        <w:t xml:space="preserve">v tuto chvíli není nutné s poplatkem hýbat a to hlavně díky tomu, že </w:t>
      </w:r>
      <w:r w:rsidR="00C47E0C" w:rsidRPr="005074A1">
        <w:rPr>
          <w:b/>
        </w:rPr>
        <w:t>v </w:t>
      </w:r>
      <w:proofErr w:type="gramStart"/>
      <w:r w:rsidR="00C47E0C" w:rsidRPr="005074A1">
        <w:rPr>
          <w:b/>
        </w:rPr>
        <w:t xml:space="preserve">Solnici </w:t>
      </w:r>
      <w:r w:rsidRPr="005074A1">
        <w:rPr>
          <w:b/>
        </w:rPr>
        <w:t xml:space="preserve"> jsou</w:t>
      </w:r>
      <w:proofErr w:type="gramEnd"/>
      <w:r w:rsidRPr="005074A1">
        <w:rPr>
          <w:b/>
        </w:rPr>
        <w:t xml:space="preserve"> návyky</w:t>
      </w:r>
      <w:r w:rsidR="00C47E0C" w:rsidRPr="005074A1">
        <w:rPr>
          <w:b/>
        </w:rPr>
        <w:t xml:space="preserve"> </w:t>
      </w:r>
      <w:r w:rsidR="00322C9B" w:rsidRPr="005074A1">
        <w:rPr>
          <w:b/>
        </w:rPr>
        <w:t xml:space="preserve">občanů </w:t>
      </w:r>
      <w:r w:rsidR="00C47E0C" w:rsidRPr="005074A1">
        <w:rPr>
          <w:b/>
        </w:rPr>
        <w:t>při tří</w:t>
      </w:r>
      <w:r w:rsidR="00322C9B" w:rsidRPr="005074A1">
        <w:rPr>
          <w:b/>
        </w:rPr>
        <w:t>dění odpadů na vysoké úrovni</w:t>
      </w:r>
      <w:r w:rsidR="00322C9B" w:rsidRPr="005074A1">
        <w:t>.</w:t>
      </w:r>
    </w:p>
    <w:p w:rsidR="00BB4068" w:rsidRPr="005074A1" w:rsidRDefault="00322C9B" w:rsidP="00BB4068">
      <w:pPr>
        <w:pStyle w:val="Default"/>
        <w:jc w:val="both"/>
      </w:pPr>
      <w:r w:rsidRPr="005074A1">
        <w:t>P</w:t>
      </w:r>
      <w:r w:rsidR="00C47E0C" w:rsidRPr="005074A1">
        <w:t>okud tento trend zachováme, nebude nutné poplatek navyšovat.</w:t>
      </w:r>
    </w:p>
    <w:p w:rsidR="00322C9B" w:rsidRPr="005074A1" w:rsidRDefault="004B09B3" w:rsidP="00BB4068">
      <w:pPr>
        <w:pStyle w:val="Default"/>
        <w:jc w:val="both"/>
      </w:pPr>
      <w:r>
        <w:tab/>
      </w:r>
      <w:r>
        <w:tab/>
      </w:r>
    </w:p>
    <w:p w:rsidR="00191319" w:rsidRDefault="00322C9B" w:rsidP="00BB4068">
      <w:pPr>
        <w:pStyle w:val="Default"/>
        <w:jc w:val="both"/>
      </w:pPr>
      <w:r w:rsidRPr="005074A1">
        <w:tab/>
      </w:r>
      <w:r w:rsidRPr="005074A1">
        <w:tab/>
      </w:r>
      <w:r w:rsidR="004B09B3">
        <w:tab/>
      </w:r>
      <w:r w:rsidR="004B09B3">
        <w:tab/>
      </w:r>
      <w:r w:rsidR="004B09B3">
        <w:tab/>
      </w:r>
      <w:r w:rsidR="004B09B3">
        <w:tab/>
      </w:r>
      <w:r w:rsidR="004B09B3">
        <w:tab/>
      </w:r>
      <w:r w:rsidR="004B09B3">
        <w:tab/>
      </w:r>
      <w:r w:rsidR="004B09B3">
        <w:tab/>
      </w:r>
      <w:r w:rsidR="004B09B3">
        <w:tab/>
      </w:r>
      <w:r w:rsidR="004B09B3">
        <w:tab/>
      </w:r>
      <w:r w:rsidR="004B09B3">
        <w:tab/>
      </w:r>
      <w:r w:rsidR="004B09B3">
        <w:tab/>
      </w:r>
      <w:r w:rsidR="00191319">
        <w:t>Ing. J. Hostinský a Mgr. S. Klengelová</w:t>
      </w:r>
    </w:p>
    <w:p w:rsidR="00322C9B" w:rsidRDefault="004B09B3" w:rsidP="00191319">
      <w:pPr>
        <w:pStyle w:val="Default"/>
        <w:ind w:left="8496" w:firstLine="708"/>
        <w:jc w:val="both"/>
      </w:pPr>
      <w:r>
        <w:t xml:space="preserve">Starosta </w:t>
      </w:r>
      <w:proofErr w:type="gramStart"/>
      <w:r>
        <w:t>města  a  tajemnice</w:t>
      </w:r>
      <w:proofErr w:type="gramEnd"/>
      <w:r>
        <w:t xml:space="preserve"> úřadu</w:t>
      </w:r>
      <w:r w:rsidR="00322C9B" w:rsidRPr="005074A1">
        <w:tab/>
      </w:r>
      <w:r w:rsidR="00322C9B" w:rsidRPr="005074A1">
        <w:tab/>
      </w:r>
      <w:r w:rsidR="00322C9B" w:rsidRPr="005074A1">
        <w:tab/>
      </w:r>
      <w:r w:rsidR="00322C9B" w:rsidRPr="005074A1">
        <w:tab/>
      </w:r>
      <w:r w:rsidR="00322C9B" w:rsidRPr="005074A1">
        <w:tab/>
      </w:r>
      <w:r w:rsidR="00322C9B">
        <w:tab/>
      </w:r>
      <w:r w:rsidR="00322C9B">
        <w:tab/>
      </w:r>
      <w:r w:rsidR="00322C9B">
        <w:tab/>
      </w:r>
      <w:r w:rsidR="00322C9B">
        <w:tab/>
      </w:r>
      <w:r w:rsidR="00322C9B">
        <w:tab/>
      </w:r>
      <w:r w:rsidR="00322C9B">
        <w:tab/>
      </w:r>
      <w:r w:rsidR="00322C9B">
        <w:tab/>
        <w:t xml:space="preserve">  </w:t>
      </w:r>
    </w:p>
    <w:sectPr w:rsidR="00322C9B" w:rsidSect="005567AA">
      <w:pgSz w:w="16839" w:h="11907"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43"/>
    <w:rsid w:val="0014266B"/>
    <w:rsid w:val="00191319"/>
    <w:rsid w:val="00322C9B"/>
    <w:rsid w:val="004839D7"/>
    <w:rsid w:val="004B09B3"/>
    <w:rsid w:val="005074A1"/>
    <w:rsid w:val="005567AA"/>
    <w:rsid w:val="005A65F0"/>
    <w:rsid w:val="006A46F2"/>
    <w:rsid w:val="007A24F4"/>
    <w:rsid w:val="00831EF3"/>
    <w:rsid w:val="008F7EE8"/>
    <w:rsid w:val="00976C43"/>
    <w:rsid w:val="00A67B0A"/>
    <w:rsid w:val="00AD223D"/>
    <w:rsid w:val="00B940DD"/>
    <w:rsid w:val="00BB4068"/>
    <w:rsid w:val="00C36B5F"/>
    <w:rsid w:val="00C47E0C"/>
    <w:rsid w:val="00D44428"/>
    <w:rsid w:val="00D7685D"/>
    <w:rsid w:val="00D814C9"/>
    <w:rsid w:val="00E74A17"/>
    <w:rsid w:val="00ED17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B0A"/>
    <w:pPr>
      <w:spacing w:after="160" w:line="259" w:lineRule="auto"/>
    </w:pPr>
    <w:rPr>
      <w:sz w:val="22"/>
      <w:szCs w:val="22"/>
    </w:rPr>
  </w:style>
  <w:style w:type="paragraph" w:styleId="Nadpis2">
    <w:name w:val="heading 2"/>
    <w:next w:val="Normln"/>
    <w:link w:val="Nadpis2Char"/>
    <w:uiPriority w:val="9"/>
    <w:unhideWhenUsed/>
    <w:qFormat/>
    <w:rsid w:val="00A67B0A"/>
    <w:pPr>
      <w:keepNext/>
      <w:keepLines/>
      <w:spacing w:after="122" w:line="259" w:lineRule="auto"/>
      <w:ind w:left="370" w:hanging="10"/>
      <w:outlineLvl w:val="1"/>
    </w:pPr>
    <w:rPr>
      <w:rFonts w:cs="Calibri"/>
      <w:b/>
      <w:color w:val="000000"/>
      <w:sz w:val="32"/>
      <w:szCs w:val="22"/>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67B0A"/>
    <w:rPr>
      <w:rFonts w:cs="Calibri"/>
      <w:b/>
      <w:color w:val="000000"/>
      <w:sz w:val="32"/>
      <w:szCs w:val="22"/>
      <w:u w:val="single" w:color="000000"/>
    </w:rPr>
  </w:style>
  <w:style w:type="paragraph" w:styleId="Odstavecseseznamem">
    <w:name w:val="List Paragraph"/>
    <w:basedOn w:val="Normln"/>
    <w:uiPriority w:val="34"/>
    <w:qFormat/>
    <w:rsid w:val="00A67B0A"/>
    <w:pPr>
      <w:ind w:left="708"/>
    </w:pPr>
    <w:rPr>
      <w:rFonts w:eastAsia="Times New Roman"/>
    </w:rPr>
  </w:style>
  <w:style w:type="paragraph" w:customStyle="1" w:styleId="Default">
    <w:name w:val="Default"/>
    <w:rsid w:val="005567AA"/>
    <w:pPr>
      <w:autoSpaceDE w:val="0"/>
      <w:autoSpaceDN w:val="0"/>
      <w:adjustRightInd w:val="0"/>
    </w:pPr>
    <w:rPr>
      <w:rFonts w:ascii="Times New Roman" w:hAnsi="Times New Roman"/>
      <w:color w:val="000000"/>
      <w:sz w:val="24"/>
      <w:szCs w:val="24"/>
    </w:rPr>
  </w:style>
  <w:style w:type="paragraph" w:styleId="Textbubliny">
    <w:name w:val="Balloon Text"/>
    <w:basedOn w:val="Normln"/>
    <w:link w:val="TextbublinyChar"/>
    <w:uiPriority w:val="99"/>
    <w:semiHidden/>
    <w:unhideWhenUsed/>
    <w:rsid w:val="004839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3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B0A"/>
    <w:pPr>
      <w:spacing w:after="160" w:line="259" w:lineRule="auto"/>
    </w:pPr>
    <w:rPr>
      <w:sz w:val="22"/>
      <w:szCs w:val="22"/>
    </w:rPr>
  </w:style>
  <w:style w:type="paragraph" w:styleId="Nadpis2">
    <w:name w:val="heading 2"/>
    <w:next w:val="Normln"/>
    <w:link w:val="Nadpis2Char"/>
    <w:uiPriority w:val="9"/>
    <w:unhideWhenUsed/>
    <w:qFormat/>
    <w:rsid w:val="00A67B0A"/>
    <w:pPr>
      <w:keepNext/>
      <w:keepLines/>
      <w:spacing w:after="122" w:line="259" w:lineRule="auto"/>
      <w:ind w:left="370" w:hanging="10"/>
      <w:outlineLvl w:val="1"/>
    </w:pPr>
    <w:rPr>
      <w:rFonts w:cs="Calibri"/>
      <w:b/>
      <w:color w:val="000000"/>
      <w:sz w:val="32"/>
      <w:szCs w:val="22"/>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67B0A"/>
    <w:rPr>
      <w:rFonts w:cs="Calibri"/>
      <w:b/>
      <w:color w:val="000000"/>
      <w:sz w:val="32"/>
      <w:szCs w:val="22"/>
      <w:u w:val="single" w:color="000000"/>
    </w:rPr>
  </w:style>
  <w:style w:type="paragraph" w:styleId="Odstavecseseznamem">
    <w:name w:val="List Paragraph"/>
    <w:basedOn w:val="Normln"/>
    <w:uiPriority w:val="34"/>
    <w:qFormat/>
    <w:rsid w:val="00A67B0A"/>
    <w:pPr>
      <w:ind w:left="708"/>
    </w:pPr>
    <w:rPr>
      <w:rFonts w:eastAsia="Times New Roman"/>
    </w:rPr>
  </w:style>
  <w:style w:type="paragraph" w:customStyle="1" w:styleId="Default">
    <w:name w:val="Default"/>
    <w:rsid w:val="005567AA"/>
    <w:pPr>
      <w:autoSpaceDE w:val="0"/>
      <w:autoSpaceDN w:val="0"/>
      <w:adjustRightInd w:val="0"/>
    </w:pPr>
    <w:rPr>
      <w:rFonts w:ascii="Times New Roman" w:hAnsi="Times New Roman"/>
      <w:color w:val="000000"/>
      <w:sz w:val="24"/>
      <w:szCs w:val="24"/>
    </w:rPr>
  </w:style>
  <w:style w:type="paragraph" w:styleId="Textbubliny">
    <w:name w:val="Balloon Text"/>
    <w:basedOn w:val="Normln"/>
    <w:link w:val="TextbublinyChar"/>
    <w:uiPriority w:val="99"/>
    <w:semiHidden/>
    <w:unhideWhenUsed/>
    <w:rsid w:val="004839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3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4</Pages>
  <Words>1031</Words>
  <Characters>6089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Klengelvá Stanislava</dc:creator>
  <cp:lastModifiedBy>Klengelvá Stanislava</cp:lastModifiedBy>
  <cp:revision>6</cp:revision>
  <cp:lastPrinted>2022-09-21T13:59:00Z</cp:lastPrinted>
  <dcterms:created xsi:type="dcterms:W3CDTF">2022-09-21T05:49:00Z</dcterms:created>
  <dcterms:modified xsi:type="dcterms:W3CDTF">2022-09-22T06:20:00Z</dcterms:modified>
</cp:coreProperties>
</file>